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05" w:rsidRPr="00C47F2C" w:rsidRDefault="00DE42FA" w:rsidP="00882405">
      <w:pPr>
        <w:spacing w:after="0"/>
        <w:jc w:val="center"/>
        <w:rPr>
          <w:rStyle w:val="IntenseEmphasis"/>
          <w:i w:val="0"/>
        </w:rPr>
      </w:pPr>
      <w:r w:rsidRPr="00C47F2C">
        <w:rPr>
          <w:rStyle w:val="IntenseEmphasis"/>
          <w:i w:val="0"/>
        </w:rPr>
        <w:t>UNDP</w:t>
      </w:r>
      <w:r w:rsidR="00882405" w:rsidRPr="00C47F2C">
        <w:rPr>
          <w:rStyle w:val="IntenseEmphasis"/>
          <w:i w:val="0"/>
        </w:rPr>
        <w:t xml:space="preserve"> Poverty Reduction and Environmental Protection </w:t>
      </w:r>
      <w:proofErr w:type="spellStart"/>
      <w:r w:rsidR="00882405" w:rsidRPr="00C47F2C">
        <w:rPr>
          <w:rStyle w:val="IntenseEmphasis"/>
          <w:i w:val="0"/>
        </w:rPr>
        <w:t>Programme</w:t>
      </w:r>
      <w:proofErr w:type="spellEnd"/>
    </w:p>
    <w:p w:rsidR="00882405" w:rsidRPr="00C47F2C" w:rsidRDefault="00882405" w:rsidP="00882405">
      <w:pPr>
        <w:spacing w:after="0"/>
        <w:jc w:val="center"/>
        <w:rPr>
          <w:rStyle w:val="IntenseEmphasis"/>
          <w:i w:val="0"/>
        </w:rPr>
      </w:pPr>
    </w:p>
    <w:p w:rsidR="00AD381D" w:rsidRPr="00C47F2C" w:rsidRDefault="00882405" w:rsidP="00882405">
      <w:pPr>
        <w:spacing w:after="0"/>
        <w:jc w:val="center"/>
        <w:rPr>
          <w:rStyle w:val="IntenseEmphasis"/>
          <w:i w:val="0"/>
        </w:rPr>
      </w:pPr>
      <w:r w:rsidRPr="00C47F2C">
        <w:rPr>
          <w:rStyle w:val="IntenseEmphasis"/>
          <w:i w:val="0"/>
        </w:rPr>
        <w:t xml:space="preserve">Project </w:t>
      </w:r>
      <w:r w:rsidR="00F12765" w:rsidRPr="00C47F2C">
        <w:rPr>
          <w:rStyle w:val="IntenseEmphasis"/>
          <w:i w:val="0"/>
        </w:rPr>
        <w:t>Concept Note</w:t>
      </w:r>
      <w:r w:rsidR="00DE42FA" w:rsidRPr="00C47F2C">
        <w:rPr>
          <w:rStyle w:val="IntenseEmphasis"/>
          <w:i w:val="0"/>
        </w:rPr>
        <w:t xml:space="preserve"> </w:t>
      </w:r>
      <w:r w:rsidRPr="00C47F2C">
        <w:rPr>
          <w:rStyle w:val="IntenseEmphasis"/>
          <w:i w:val="0"/>
        </w:rPr>
        <w:t xml:space="preserve">- </w:t>
      </w:r>
      <w:r w:rsidR="00DE42FA" w:rsidRPr="00C47F2C">
        <w:rPr>
          <w:rStyle w:val="IntenseEmphasis"/>
          <w:i w:val="0"/>
        </w:rPr>
        <w:t>August 2013</w:t>
      </w:r>
    </w:p>
    <w:p w:rsidR="00882405" w:rsidRPr="00C47F2C" w:rsidRDefault="00882405" w:rsidP="00882405">
      <w:pPr>
        <w:spacing w:after="0"/>
        <w:jc w:val="center"/>
        <w:rPr>
          <w:rStyle w:val="IntenseEmphasis"/>
          <w:i w:val="0"/>
        </w:rPr>
      </w:pPr>
    </w:p>
    <w:p w:rsidR="00882405" w:rsidRPr="00C47F2C" w:rsidRDefault="00DE42FA" w:rsidP="00882405">
      <w:pPr>
        <w:spacing w:after="0"/>
        <w:jc w:val="center"/>
        <w:rPr>
          <w:rStyle w:val="IntenseEmphasis"/>
          <w:i w:val="0"/>
        </w:rPr>
      </w:pPr>
      <w:r w:rsidRPr="00C47F2C">
        <w:rPr>
          <w:rStyle w:val="IntenseEmphasis"/>
          <w:i w:val="0"/>
        </w:rPr>
        <w:t>Local Economic Developmen</w:t>
      </w:r>
      <w:r w:rsidR="00882405" w:rsidRPr="00C47F2C">
        <w:rPr>
          <w:rStyle w:val="IntenseEmphasis"/>
          <w:i w:val="0"/>
        </w:rPr>
        <w:t>t in the Newly Recovered Areas</w:t>
      </w:r>
    </w:p>
    <w:p w:rsidR="00DE42FA" w:rsidRPr="00C47F2C" w:rsidRDefault="00DE42FA" w:rsidP="00882405">
      <w:pPr>
        <w:spacing w:after="0"/>
        <w:jc w:val="center"/>
        <w:rPr>
          <w:rStyle w:val="IntenseEmphasis"/>
          <w:i w:val="0"/>
        </w:rPr>
      </w:pPr>
      <w:proofErr w:type="gramStart"/>
      <w:r w:rsidRPr="00C47F2C">
        <w:rPr>
          <w:rStyle w:val="IntenseEmphasis"/>
          <w:i w:val="0"/>
        </w:rPr>
        <w:t>of</w:t>
      </w:r>
      <w:proofErr w:type="gramEnd"/>
      <w:r w:rsidRPr="00C47F2C">
        <w:rPr>
          <w:rStyle w:val="IntenseEmphasis"/>
          <w:i w:val="0"/>
        </w:rPr>
        <w:t xml:space="preserve"> Central and South Somalia</w:t>
      </w:r>
    </w:p>
    <w:p w:rsidR="005F3ABF" w:rsidRDefault="005F3ABF" w:rsidP="00882405">
      <w:pPr>
        <w:spacing w:after="0"/>
        <w:jc w:val="center"/>
        <w:rPr>
          <w:b/>
        </w:rPr>
      </w:pPr>
    </w:p>
    <w:p w:rsidR="00882405" w:rsidRPr="00882405" w:rsidRDefault="00D85E6F" w:rsidP="00882405">
      <w:pPr>
        <w:pStyle w:val="Heading2"/>
        <w:rPr>
          <w:rFonts w:asciiTheme="minorHAnsi" w:hAnsiTheme="minorHAnsi"/>
          <w:sz w:val="22"/>
          <w:szCs w:val="22"/>
        </w:rPr>
      </w:pPr>
      <w:r w:rsidRPr="00882405">
        <w:rPr>
          <w:rFonts w:asciiTheme="minorHAnsi" w:hAnsiTheme="minorHAnsi"/>
          <w:sz w:val="22"/>
          <w:szCs w:val="22"/>
        </w:rPr>
        <w:t xml:space="preserve">Project Summary </w:t>
      </w:r>
    </w:p>
    <w:p w:rsidR="00D85E6F" w:rsidRPr="00882405" w:rsidRDefault="00D85E6F" w:rsidP="00D85E6F">
      <w:pPr>
        <w:spacing w:after="0" w:line="240" w:lineRule="auto"/>
        <w:jc w:val="both"/>
        <w:rPr>
          <w:rFonts w:cs="Calibri"/>
        </w:rPr>
      </w:pPr>
    </w:p>
    <w:tbl>
      <w:tblPr>
        <w:tblW w:w="92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498"/>
      </w:tblGrid>
      <w:tr w:rsidR="00DE42FA" w:rsidTr="00DE42FA">
        <w:tc>
          <w:tcPr>
            <w:tcW w:w="2718" w:type="dxa"/>
            <w:tcBorders>
              <w:top w:val="single" w:sz="4" w:space="0" w:color="auto"/>
              <w:left w:val="single" w:sz="4" w:space="0" w:color="auto"/>
              <w:bottom w:val="single" w:sz="4" w:space="0" w:color="auto"/>
              <w:right w:val="single" w:sz="4" w:space="0" w:color="auto"/>
            </w:tcBorders>
            <w:hideMark/>
          </w:tcPr>
          <w:p w:rsidR="00DE42FA" w:rsidRPr="001303C7" w:rsidRDefault="00DE42FA">
            <w:pPr>
              <w:autoSpaceDE w:val="0"/>
              <w:autoSpaceDN w:val="0"/>
              <w:spacing w:after="0" w:line="240" w:lineRule="auto"/>
              <w:jc w:val="both"/>
              <w:outlineLvl w:val="0"/>
              <w:rPr>
                <w:rFonts w:cs="Calibri"/>
              </w:rPr>
            </w:pPr>
            <w:r w:rsidRPr="001303C7">
              <w:rPr>
                <w:rFonts w:cs="Calibri"/>
              </w:rPr>
              <w:t>Project Name</w:t>
            </w:r>
          </w:p>
        </w:tc>
        <w:tc>
          <w:tcPr>
            <w:tcW w:w="6498" w:type="dxa"/>
            <w:tcBorders>
              <w:top w:val="single" w:sz="4" w:space="0" w:color="auto"/>
              <w:left w:val="single" w:sz="4" w:space="0" w:color="auto"/>
              <w:bottom w:val="single" w:sz="4" w:space="0" w:color="auto"/>
              <w:right w:val="single" w:sz="4" w:space="0" w:color="auto"/>
            </w:tcBorders>
            <w:hideMark/>
          </w:tcPr>
          <w:p w:rsidR="00DE42FA" w:rsidRPr="001303C7" w:rsidRDefault="00DE42FA" w:rsidP="00DE42FA">
            <w:pPr>
              <w:spacing w:after="0"/>
            </w:pPr>
            <w:r w:rsidRPr="001303C7">
              <w:rPr>
                <w:b/>
              </w:rPr>
              <w:t>Local Economic Development in the Newly Recovered Areas (NRAs) of Central and South Somalia</w:t>
            </w:r>
          </w:p>
        </w:tc>
      </w:tr>
      <w:tr w:rsidR="00DE42FA" w:rsidTr="00DE42FA">
        <w:tc>
          <w:tcPr>
            <w:tcW w:w="2718" w:type="dxa"/>
            <w:tcBorders>
              <w:top w:val="single" w:sz="4" w:space="0" w:color="auto"/>
              <w:left w:val="single" w:sz="4" w:space="0" w:color="auto"/>
              <w:bottom w:val="single" w:sz="4" w:space="0" w:color="auto"/>
              <w:right w:val="single" w:sz="4" w:space="0" w:color="auto"/>
            </w:tcBorders>
            <w:hideMark/>
          </w:tcPr>
          <w:p w:rsidR="00DE42FA" w:rsidRPr="001303C7" w:rsidRDefault="00DE42FA">
            <w:pPr>
              <w:autoSpaceDE w:val="0"/>
              <w:autoSpaceDN w:val="0"/>
              <w:spacing w:after="0" w:line="240" w:lineRule="auto"/>
              <w:jc w:val="both"/>
              <w:outlineLvl w:val="0"/>
              <w:rPr>
                <w:rFonts w:cs="Calibri"/>
              </w:rPr>
            </w:pPr>
            <w:r w:rsidRPr="001303C7">
              <w:rPr>
                <w:rFonts w:cs="Calibri"/>
              </w:rPr>
              <w:t>Executing Agency</w:t>
            </w:r>
          </w:p>
        </w:tc>
        <w:tc>
          <w:tcPr>
            <w:tcW w:w="6498" w:type="dxa"/>
            <w:tcBorders>
              <w:top w:val="single" w:sz="4" w:space="0" w:color="auto"/>
              <w:left w:val="single" w:sz="4" w:space="0" w:color="auto"/>
              <w:bottom w:val="single" w:sz="4" w:space="0" w:color="auto"/>
              <w:right w:val="single" w:sz="4" w:space="0" w:color="auto"/>
            </w:tcBorders>
            <w:hideMark/>
          </w:tcPr>
          <w:p w:rsidR="00DE42FA" w:rsidRPr="001303C7" w:rsidRDefault="00DE42FA">
            <w:pPr>
              <w:spacing w:after="0" w:line="240" w:lineRule="auto"/>
              <w:jc w:val="both"/>
              <w:rPr>
                <w:rFonts w:cs="Calibri"/>
              </w:rPr>
            </w:pPr>
            <w:r w:rsidRPr="001303C7">
              <w:rPr>
                <w:rFonts w:cs="Calibri"/>
              </w:rPr>
              <w:t xml:space="preserve">UNDP Somalia, </w:t>
            </w:r>
            <w:r w:rsidRPr="001303C7">
              <w:t>Poverty Reduction and Environment Protection</w:t>
            </w:r>
            <w:r w:rsidR="00882405" w:rsidRPr="001303C7">
              <w:t xml:space="preserve"> </w:t>
            </w:r>
            <w:proofErr w:type="spellStart"/>
            <w:r w:rsidR="00882405" w:rsidRPr="001303C7">
              <w:t>Programme</w:t>
            </w:r>
            <w:proofErr w:type="spellEnd"/>
          </w:p>
        </w:tc>
      </w:tr>
      <w:tr w:rsidR="00DE42FA" w:rsidTr="00DE42FA">
        <w:tc>
          <w:tcPr>
            <w:tcW w:w="2718" w:type="dxa"/>
            <w:tcBorders>
              <w:top w:val="single" w:sz="4" w:space="0" w:color="auto"/>
              <w:left w:val="single" w:sz="4" w:space="0" w:color="auto"/>
              <w:bottom w:val="single" w:sz="4" w:space="0" w:color="auto"/>
              <w:right w:val="single" w:sz="4" w:space="0" w:color="auto"/>
            </w:tcBorders>
            <w:hideMark/>
          </w:tcPr>
          <w:p w:rsidR="00DE42FA" w:rsidRPr="001303C7" w:rsidRDefault="00DE42FA">
            <w:pPr>
              <w:autoSpaceDE w:val="0"/>
              <w:autoSpaceDN w:val="0"/>
              <w:spacing w:after="0" w:line="240" w:lineRule="auto"/>
              <w:jc w:val="both"/>
              <w:outlineLvl w:val="0"/>
              <w:rPr>
                <w:rFonts w:cs="Calibri"/>
              </w:rPr>
            </w:pPr>
            <w:r w:rsidRPr="001303C7">
              <w:rPr>
                <w:rFonts w:cs="Calibri"/>
              </w:rPr>
              <w:t>Local Partners</w:t>
            </w:r>
          </w:p>
        </w:tc>
        <w:tc>
          <w:tcPr>
            <w:tcW w:w="6498" w:type="dxa"/>
            <w:tcBorders>
              <w:top w:val="single" w:sz="4" w:space="0" w:color="auto"/>
              <w:left w:val="single" w:sz="4" w:space="0" w:color="auto"/>
              <w:bottom w:val="single" w:sz="4" w:space="0" w:color="auto"/>
              <w:right w:val="single" w:sz="4" w:space="0" w:color="auto"/>
            </w:tcBorders>
            <w:hideMark/>
          </w:tcPr>
          <w:p w:rsidR="00DE42FA" w:rsidRPr="001303C7" w:rsidRDefault="00882405" w:rsidP="00882405">
            <w:pPr>
              <w:spacing w:after="0" w:line="240" w:lineRule="auto"/>
              <w:jc w:val="both"/>
              <w:rPr>
                <w:rFonts w:cs="Calibri"/>
              </w:rPr>
            </w:pPr>
            <w:r w:rsidRPr="001303C7">
              <w:rPr>
                <w:rFonts w:cs="Calibri"/>
              </w:rPr>
              <w:t xml:space="preserve">The Federal Government of Somalia, municipalities, communities, private sector representative </w:t>
            </w:r>
            <w:proofErr w:type="spellStart"/>
            <w:r w:rsidRPr="001303C7">
              <w:rPr>
                <w:rFonts w:cs="Calibri"/>
              </w:rPr>
              <w:t>organisations</w:t>
            </w:r>
            <w:proofErr w:type="spellEnd"/>
            <w:r w:rsidRPr="001303C7">
              <w:rPr>
                <w:rFonts w:cs="Calibri"/>
              </w:rPr>
              <w:t xml:space="preserve"> and civil society organizations</w:t>
            </w:r>
          </w:p>
        </w:tc>
      </w:tr>
      <w:tr w:rsidR="00DE42FA" w:rsidTr="00DE42FA">
        <w:tc>
          <w:tcPr>
            <w:tcW w:w="2718" w:type="dxa"/>
            <w:tcBorders>
              <w:top w:val="single" w:sz="4" w:space="0" w:color="auto"/>
              <w:left w:val="single" w:sz="4" w:space="0" w:color="auto"/>
              <w:bottom w:val="single" w:sz="4" w:space="0" w:color="auto"/>
              <w:right w:val="single" w:sz="4" w:space="0" w:color="auto"/>
            </w:tcBorders>
            <w:hideMark/>
          </w:tcPr>
          <w:p w:rsidR="00DE42FA" w:rsidRPr="001303C7" w:rsidRDefault="00DE42FA">
            <w:pPr>
              <w:autoSpaceDE w:val="0"/>
              <w:autoSpaceDN w:val="0"/>
              <w:spacing w:after="0" w:line="240" w:lineRule="auto"/>
              <w:jc w:val="both"/>
              <w:outlineLvl w:val="0"/>
              <w:rPr>
                <w:rFonts w:cs="Calibri"/>
              </w:rPr>
            </w:pPr>
            <w:r w:rsidRPr="001303C7">
              <w:rPr>
                <w:rFonts w:cs="Calibri"/>
              </w:rPr>
              <w:t>Targeted Area</w:t>
            </w:r>
          </w:p>
        </w:tc>
        <w:tc>
          <w:tcPr>
            <w:tcW w:w="6498" w:type="dxa"/>
            <w:tcBorders>
              <w:top w:val="single" w:sz="4" w:space="0" w:color="auto"/>
              <w:left w:val="single" w:sz="4" w:space="0" w:color="auto"/>
              <w:bottom w:val="single" w:sz="4" w:space="0" w:color="auto"/>
              <w:right w:val="single" w:sz="4" w:space="0" w:color="auto"/>
            </w:tcBorders>
            <w:hideMark/>
          </w:tcPr>
          <w:p w:rsidR="00DE42FA" w:rsidRPr="001303C7" w:rsidRDefault="00DE42FA">
            <w:pPr>
              <w:spacing w:after="0" w:line="240" w:lineRule="auto"/>
              <w:jc w:val="both"/>
              <w:rPr>
                <w:rFonts w:cs="Calibri"/>
              </w:rPr>
            </w:pPr>
            <w:r w:rsidRPr="001303C7">
              <w:rPr>
                <w:rFonts w:cs="Calibri"/>
              </w:rPr>
              <w:t>T</w:t>
            </w:r>
            <w:r w:rsidRPr="001303C7">
              <w:t xml:space="preserve">he Newly Recovered Areas (NRAs) of Central and South Somalia: </w:t>
            </w:r>
            <w:proofErr w:type="spellStart"/>
            <w:r w:rsidRPr="001303C7">
              <w:t>Baidoa</w:t>
            </w:r>
            <w:proofErr w:type="spellEnd"/>
            <w:r w:rsidRPr="001303C7">
              <w:t xml:space="preserve">, </w:t>
            </w:r>
            <w:proofErr w:type="spellStart"/>
            <w:r w:rsidRPr="001303C7">
              <w:t>Beletwein</w:t>
            </w:r>
            <w:proofErr w:type="spellEnd"/>
            <w:r w:rsidRPr="001303C7">
              <w:t xml:space="preserve">, </w:t>
            </w:r>
            <w:proofErr w:type="spellStart"/>
            <w:r w:rsidRPr="001303C7">
              <w:t>Dolow</w:t>
            </w:r>
            <w:proofErr w:type="spellEnd"/>
            <w:r w:rsidRPr="001303C7">
              <w:t xml:space="preserve">, </w:t>
            </w:r>
            <w:proofErr w:type="spellStart"/>
            <w:r w:rsidRPr="001303C7">
              <w:t>Afgoye</w:t>
            </w:r>
            <w:proofErr w:type="spellEnd"/>
            <w:r w:rsidRPr="001303C7">
              <w:t xml:space="preserve">, </w:t>
            </w:r>
            <w:proofErr w:type="spellStart"/>
            <w:r w:rsidRPr="001303C7">
              <w:t>Jowhar</w:t>
            </w:r>
            <w:proofErr w:type="spellEnd"/>
            <w:r w:rsidRPr="001303C7">
              <w:t xml:space="preserve"> and Mogadishu</w:t>
            </w:r>
          </w:p>
        </w:tc>
      </w:tr>
      <w:tr w:rsidR="00DE42FA" w:rsidTr="00DE42FA">
        <w:tc>
          <w:tcPr>
            <w:tcW w:w="2718" w:type="dxa"/>
            <w:tcBorders>
              <w:top w:val="single" w:sz="4" w:space="0" w:color="auto"/>
              <w:left w:val="single" w:sz="4" w:space="0" w:color="auto"/>
              <w:bottom w:val="single" w:sz="4" w:space="0" w:color="auto"/>
              <w:right w:val="single" w:sz="4" w:space="0" w:color="auto"/>
            </w:tcBorders>
            <w:hideMark/>
          </w:tcPr>
          <w:p w:rsidR="00DE42FA" w:rsidRPr="001303C7" w:rsidRDefault="00DE42FA">
            <w:pPr>
              <w:autoSpaceDE w:val="0"/>
              <w:autoSpaceDN w:val="0"/>
              <w:spacing w:after="0" w:line="240" w:lineRule="auto"/>
              <w:jc w:val="both"/>
              <w:outlineLvl w:val="0"/>
              <w:rPr>
                <w:rFonts w:cs="Calibri"/>
              </w:rPr>
            </w:pPr>
            <w:r w:rsidRPr="001303C7">
              <w:rPr>
                <w:rFonts w:cs="Calibri"/>
              </w:rPr>
              <w:t>Overall Objective</w:t>
            </w:r>
          </w:p>
        </w:tc>
        <w:tc>
          <w:tcPr>
            <w:tcW w:w="6498" w:type="dxa"/>
            <w:tcBorders>
              <w:top w:val="single" w:sz="4" w:space="0" w:color="auto"/>
              <w:left w:val="single" w:sz="4" w:space="0" w:color="auto"/>
              <w:bottom w:val="single" w:sz="4" w:space="0" w:color="auto"/>
              <w:right w:val="single" w:sz="4" w:space="0" w:color="auto"/>
            </w:tcBorders>
            <w:hideMark/>
          </w:tcPr>
          <w:p w:rsidR="00DE42FA" w:rsidRPr="001303C7" w:rsidRDefault="007C501A">
            <w:pPr>
              <w:spacing w:after="0" w:line="240" w:lineRule="auto"/>
              <w:jc w:val="both"/>
              <w:rPr>
                <w:rFonts w:cs="Calibri"/>
              </w:rPr>
            </w:pPr>
            <w:r w:rsidRPr="001303C7">
              <w:rPr>
                <w:rFonts w:cstheme="minorHAnsi"/>
                <w:iCs/>
              </w:rPr>
              <w:t>To support r</w:t>
            </w:r>
            <w:r w:rsidR="00BE7C5C" w:rsidRPr="001303C7">
              <w:rPr>
                <w:rFonts w:cstheme="minorHAnsi"/>
                <w:iCs/>
              </w:rPr>
              <w:t xml:space="preserve">apid economic stabilization, </w:t>
            </w:r>
            <w:r w:rsidRPr="001303C7">
              <w:rPr>
                <w:rFonts w:cstheme="minorHAnsi"/>
                <w:iCs/>
              </w:rPr>
              <w:t>recovery</w:t>
            </w:r>
            <w:r w:rsidR="00BE7C5C" w:rsidRPr="001303C7">
              <w:rPr>
                <w:rFonts w:cstheme="minorHAnsi"/>
                <w:iCs/>
              </w:rPr>
              <w:t xml:space="preserve"> and employment growth</w:t>
            </w:r>
            <w:r w:rsidRPr="001303C7">
              <w:rPr>
                <w:rFonts w:cstheme="minorHAnsi"/>
                <w:iCs/>
              </w:rPr>
              <w:t xml:space="preserve"> in the Newly Recovered Areas of Central and South Somalia</w:t>
            </w:r>
          </w:p>
        </w:tc>
      </w:tr>
      <w:tr w:rsidR="00DE42FA" w:rsidTr="00DE42FA">
        <w:tc>
          <w:tcPr>
            <w:tcW w:w="2718" w:type="dxa"/>
            <w:tcBorders>
              <w:top w:val="single" w:sz="4" w:space="0" w:color="auto"/>
              <w:left w:val="single" w:sz="4" w:space="0" w:color="auto"/>
              <w:bottom w:val="single" w:sz="4" w:space="0" w:color="auto"/>
              <w:right w:val="single" w:sz="4" w:space="0" w:color="auto"/>
            </w:tcBorders>
            <w:hideMark/>
          </w:tcPr>
          <w:p w:rsidR="00DE42FA" w:rsidRPr="001303C7" w:rsidRDefault="002630DC">
            <w:pPr>
              <w:autoSpaceDE w:val="0"/>
              <w:autoSpaceDN w:val="0"/>
              <w:spacing w:after="0" w:line="240" w:lineRule="auto"/>
              <w:jc w:val="both"/>
              <w:outlineLvl w:val="0"/>
              <w:rPr>
                <w:rFonts w:cs="Calibri"/>
              </w:rPr>
            </w:pPr>
            <w:r w:rsidRPr="001303C7">
              <w:rPr>
                <w:rFonts w:cs="Calibri"/>
              </w:rPr>
              <w:t>Target B</w:t>
            </w:r>
            <w:r w:rsidR="007C501A" w:rsidRPr="001303C7">
              <w:rPr>
                <w:rFonts w:cs="Calibri"/>
              </w:rPr>
              <w:t>eneficiaries</w:t>
            </w:r>
          </w:p>
        </w:tc>
        <w:tc>
          <w:tcPr>
            <w:tcW w:w="6498" w:type="dxa"/>
            <w:tcBorders>
              <w:top w:val="single" w:sz="4" w:space="0" w:color="auto"/>
              <w:left w:val="single" w:sz="4" w:space="0" w:color="auto"/>
              <w:bottom w:val="single" w:sz="4" w:space="0" w:color="auto"/>
              <w:right w:val="single" w:sz="4" w:space="0" w:color="auto"/>
            </w:tcBorders>
            <w:hideMark/>
          </w:tcPr>
          <w:p w:rsidR="00DE42FA" w:rsidRPr="001303C7" w:rsidRDefault="007C501A" w:rsidP="007C501A">
            <w:pPr>
              <w:spacing w:after="0" w:line="240" w:lineRule="auto"/>
              <w:jc w:val="both"/>
              <w:rPr>
                <w:rFonts w:cs="Calibri"/>
              </w:rPr>
            </w:pPr>
            <w:r w:rsidRPr="001303C7">
              <w:rPr>
                <w:rFonts w:cs="Calibri"/>
              </w:rPr>
              <w:t xml:space="preserve">Long-term unemployed (especially youth and women) and local development stakeholders, including municipalities, the small business sector and civil society </w:t>
            </w:r>
            <w:proofErr w:type="spellStart"/>
            <w:r w:rsidRPr="001303C7">
              <w:rPr>
                <w:rFonts w:cs="Calibri"/>
              </w:rPr>
              <w:t>organisations</w:t>
            </w:r>
            <w:proofErr w:type="spellEnd"/>
          </w:p>
        </w:tc>
      </w:tr>
      <w:tr w:rsidR="00DE42FA" w:rsidTr="00DE42FA">
        <w:tc>
          <w:tcPr>
            <w:tcW w:w="2718" w:type="dxa"/>
            <w:tcBorders>
              <w:top w:val="single" w:sz="4" w:space="0" w:color="auto"/>
              <w:left w:val="single" w:sz="4" w:space="0" w:color="auto"/>
              <w:bottom w:val="single" w:sz="4" w:space="0" w:color="auto"/>
              <w:right w:val="single" w:sz="4" w:space="0" w:color="auto"/>
            </w:tcBorders>
            <w:hideMark/>
          </w:tcPr>
          <w:p w:rsidR="00DE42FA" w:rsidRPr="001303C7" w:rsidRDefault="002630DC">
            <w:pPr>
              <w:autoSpaceDE w:val="0"/>
              <w:autoSpaceDN w:val="0"/>
              <w:spacing w:after="0" w:line="240" w:lineRule="auto"/>
              <w:jc w:val="both"/>
              <w:outlineLvl w:val="0"/>
              <w:rPr>
                <w:rFonts w:cs="Calibri"/>
              </w:rPr>
            </w:pPr>
            <w:r w:rsidRPr="001303C7">
              <w:rPr>
                <w:rFonts w:cs="Calibri"/>
              </w:rPr>
              <w:t>Project D</w:t>
            </w:r>
            <w:r w:rsidR="00DE42FA" w:rsidRPr="001303C7">
              <w:rPr>
                <w:rFonts w:cs="Calibri"/>
              </w:rPr>
              <w:t>uration</w:t>
            </w:r>
          </w:p>
        </w:tc>
        <w:tc>
          <w:tcPr>
            <w:tcW w:w="6498" w:type="dxa"/>
            <w:tcBorders>
              <w:top w:val="single" w:sz="4" w:space="0" w:color="auto"/>
              <w:left w:val="single" w:sz="4" w:space="0" w:color="auto"/>
              <w:bottom w:val="single" w:sz="4" w:space="0" w:color="auto"/>
              <w:right w:val="single" w:sz="4" w:space="0" w:color="auto"/>
            </w:tcBorders>
            <w:hideMark/>
          </w:tcPr>
          <w:p w:rsidR="00DE42FA" w:rsidRPr="001303C7" w:rsidRDefault="007C501A" w:rsidP="007C501A">
            <w:pPr>
              <w:spacing w:after="0" w:line="240" w:lineRule="auto"/>
              <w:jc w:val="both"/>
              <w:rPr>
                <w:rFonts w:cs="Calibri"/>
              </w:rPr>
            </w:pPr>
            <w:r w:rsidRPr="001303C7">
              <w:rPr>
                <w:rFonts w:cs="Calibri"/>
              </w:rPr>
              <w:t>36</w:t>
            </w:r>
            <w:r w:rsidR="00DE42FA" w:rsidRPr="001303C7">
              <w:rPr>
                <w:rFonts w:cs="Calibri"/>
              </w:rPr>
              <w:t xml:space="preserve"> months from the date of receiving </w:t>
            </w:r>
            <w:r w:rsidRPr="001303C7">
              <w:rPr>
                <w:rFonts w:cs="Calibri"/>
              </w:rPr>
              <w:t>funds</w:t>
            </w:r>
            <w:r w:rsidR="00DE42FA" w:rsidRPr="001303C7">
              <w:rPr>
                <w:rFonts w:cs="Calibri"/>
              </w:rPr>
              <w:t xml:space="preserve"> </w:t>
            </w:r>
          </w:p>
        </w:tc>
      </w:tr>
      <w:tr w:rsidR="00DE42FA" w:rsidTr="00BC4528">
        <w:tc>
          <w:tcPr>
            <w:tcW w:w="2718" w:type="dxa"/>
            <w:tcBorders>
              <w:top w:val="single" w:sz="4" w:space="0" w:color="auto"/>
              <w:left w:val="single" w:sz="4" w:space="0" w:color="auto"/>
              <w:bottom w:val="single" w:sz="4" w:space="0" w:color="auto"/>
              <w:right w:val="single" w:sz="4" w:space="0" w:color="auto"/>
            </w:tcBorders>
            <w:vAlign w:val="center"/>
            <w:hideMark/>
          </w:tcPr>
          <w:p w:rsidR="00DE42FA" w:rsidRPr="001303C7" w:rsidRDefault="001952C1">
            <w:pPr>
              <w:autoSpaceDE w:val="0"/>
              <w:autoSpaceDN w:val="0"/>
              <w:spacing w:after="0" w:line="240" w:lineRule="auto"/>
              <w:jc w:val="both"/>
              <w:outlineLvl w:val="0"/>
              <w:rPr>
                <w:rFonts w:cs="Calibri"/>
              </w:rPr>
            </w:pPr>
            <w:r>
              <w:rPr>
                <w:rFonts w:cs="Calibri"/>
              </w:rPr>
              <w:t>Indicative</w:t>
            </w:r>
            <w:r w:rsidR="00DE42FA" w:rsidRPr="001303C7">
              <w:rPr>
                <w:rFonts w:cs="Calibri"/>
              </w:rPr>
              <w:t xml:space="preserve"> Budget</w:t>
            </w:r>
            <w:r>
              <w:rPr>
                <w:rFonts w:cs="Calibri"/>
              </w:rPr>
              <w:t xml:space="preserve"> </w:t>
            </w:r>
          </w:p>
        </w:tc>
        <w:tc>
          <w:tcPr>
            <w:tcW w:w="6498" w:type="dxa"/>
            <w:tcBorders>
              <w:top w:val="single" w:sz="4" w:space="0" w:color="auto"/>
              <w:left w:val="single" w:sz="4" w:space="0" w:color="auto"/>
              <w:bottom w:val="single" w:sz="4" w:space="0" w:color="auto"/>
              <w:right w:val="single" w:sz="4" w:space="0" w:color="auto"/>
            </w:tcBorders>
            <w:hideMark/>
          </w:tcPr>
          <w:p w:rsidR="00DE42FA" w:rsidRPr="001303C7" w:rsidRDefault="00DE42FA" w:rsidP="007C501A">
            <w:pPr>
              <w:spacing w:after="0" w:line="240" w:lineRule="auto"/>
              <w:jc w:val="both"/>
              <w:rPr>
                <w:rFonts w:cs="Calibri"/>
              </w:rPr>
            </w:pPr>
            <w:r w:rsidRPr="001303C7">
              <w:rPr>
                <w:rFonts w:cs="Calibri"/>
              </w:rPr>
              <w:t xml:space="preserve">USD </w:t>
            </w:r>
            <w:r w:rsidR="007C501A" w:rsidRPr="001303C7">
              <w:rPr>
                <w:rFonts w:cs="Calibri"/>
              </w:rPr>
              <w:t>20,000,000</w:t>
            </w:r>
          </w:p>
        </w:tc>
      </w:tr>
    </w:tbl>
    <w:p w:rsidR="005F3ABF" w:rsidRPr="005F3ABF" w:rsidRDefault="005F3ABF" w:rsidP="005F3ABF">
      <w:pPr>
        <w:spacing w:after="0"/>
      </w:pPr>
    </w:p>
    <w:p w:rsidR="00F12765" w:rsidRPr="00882405" w:rsidRDefault="00F12765" w:rsidP="002E3425">
      <w:pPr>
        <w:pStyle w:val="Heading2"/>
        <w:jc w:val="both"/>
        <w:rPr>
          <w:rFonts w:asciiTheme="minorHAnsi" w:hAnsiTheme="minorHAnsi"/>
          <w:sz w:val="22"/>
          <w:szCs w:val="22"/>
        </w:rPr>
      </w:pPr>
      <w:r w:rsidRPr="00882405">
        <w:rPr>
          <w:rFonts w:asciiTheme="minorHAnsi" w:hAnsiTheme="minorHAnsi"/>
          <w:sz w:val="22"/>
          <w:szCs w:val="22"/>
        </w:rPr>
        <w:t>Background</w:t>
      </w:r>
      <w:r w:rsidR="00882405">
        <w:rPr>
          <w:rFonts w:asciiTheme="minorHAnsi" w:hAnsiTheme="minorHAnsi"/>
          <w:sz w:val="22"/>
          <w:szCs w:val="22"/>
        </w:rPr>
        <w:t xml:space="preserve"> </w:t>
      </w:r>
    </w:p>
    <w:p w:rsidR="00D85E6F" w:rsidRPr="00882405" w:rsidRDefault="00D85E6F" w:rsidP="002E3425">
      <w:pPr>
        <w:spacing w:after="0"/>
        <w:jc w:val="both"/>
        <w:rPr>
          <w:i/>
        </w:rPr>
      </w:pPr>
    </w:p>
    <w:p w:rsidR="005D50FD" w:rsidRDefault="00A80EC9" w:rsidP="002E3425">
      <w:pPr>
        <w:spacing w:after="0"/>
        <w:jc w:val="both"/>
      </w:pPr>
      <w:r>
        <w:rPr>
          <w:rStyle w:val="IntenseEmphasis"/>
          <w:b w:val="0"/>
          <w:i w:val="0"/>
          <w:color w:val="auto"/>
        </w:rPr>
        <w:t>Despite their status as ‘newly recovered’ or ‘liberated’ areas, most parts of Central</w:t>
      </w:r>
      <w:r w:rsidR="001952C1">
        <w:rPr>
          <w:rStyle w:val="IntenseEmphasis"/>
          <w:b w:val="0"/>
          <w:i w:val="0"/>
          <w:color w:val="auto"/>
        </w:rPr>
        <w:t xml:space="preserve"> and South</w:t>
      </w:r>
      <w:r>
        <w:rPr>
          <w:rStyle w:val="IntenseEmphasis"/>
          <w:b w:val="0"/>
          <w:i w:val="0"/>
          <w:color w:val="auto"/>
        </w:rPr>
        <w:t xml:space="preserve"> Somalia continue to experience low levels of economic recovery, a lack of authoritative government structures, sporadic armed conflict and endemic humanitarian needs. In addition</w:t>
      </w:r>
      <w:r w:rsidR="005D50FD">
        <w:rPr>
          <w:rStyle w:val="IntenseEmphasis"/>
          <w:b w:val="0"/>
          <w:i w:val="0"/>
          <w:color w:val="auto"/>
        </w:rPr>
        <w:t xml:space="preserve"> the Newly R</w:t>
      </w:r>
      <w:r>
        <w:rPr>
          <w:rStyle w:val="IntenseEmphasis"/>
          <w:b w:val="0"/>
          <w:i w:val="0"/>
          <w:color w:val="auto"/>
        </w:rPr>
        <w:t xml:space="preserve">ecovered </w:t>
      </w:r>
      <w:r w:rsidR="005D50FD">
        <w:rPr>
          <w:rStyle w:val="IntenseEmphasis"/>
          <w:b w:val="0"/>
          <w:i w:val="0"/>
          <w:color w:val="auto"/>
        </w:rPr>
        <w:t>A</w:t>
      </w:r>
      <w:r>
        <w:rPr>
          <w:rStyle w:val="IntenseEmphasis"/>
          <w:b w:val="0"/>
          <w:i w:val="0"/>
          <w:color w:val="auto"/>
        </w:rPr>
        <w:t>reas were among the five regions declared under famine during 2011, and hence affected by damaged livelihood assets,</w:t>
      </w:r>
      <w:r w:rsidR="00F866B4" w:rsidRPr="00F866B4">
        <w:t xml:space="preserve"> </w:t>
      </w:r>
      <w:r w:rsidR="00F866B4">
        <w:rPr>
          <w:rStyle w:val="IntenseEmphasis"/>
          <w:b w:val="0"/>
          <w:i w:val="0"/>
          <w:color w:val="auto"/>
        </w:rPr>
        <w:t xml:space="preserve">soaring </w:t>
      </w:r>
      <w:r w:rsidR="00F866B4" w:rsidRPr="00F866B4">
        <w:rPr>
          <w:rStyle w:val="IntenseEmphasis"/>
          <w:b w:val="0"/>
          <w:i w:val="0"/>
          <w:color w:val="auto"/>
        </w:rPr>
        <w:t>unemployment rate</w:t>
      </w:r>
      <w:r w:rsidR="007A5C0D">
        <w:rPr>
          <w:rStyle w:val="IntenseEmphasis"/>
          <w:b w:val="0"/>
          <w:i w:val="0"/>
          <w:color w:val="auto"/>
        </w:rPr>
        <w:t xml:space="preserve">s (above </w:t>
      </w:r>
      <w:r w:rsidR="00F141BC">
        <w:rPr>
          <w:rStyle w:val="IntenseEmphasis"/>
          <w:b w:val="0"/>
          <w:i w:val="0"/>
          <w:color w:val="auto"/>
        </w:rPr>
        <w:t xml:space="preserve">50 </w:t>
      </w:r>
      <w:r w:rsidR="007A5C0D">
        <w:rPr>
          <w:rStyle w:val="IntenseEmphasis"/>
          <w:b w:val="0"/>
          <w:i w:val="0"/>
          <w:color w:val="auto"/>
        </w:rPr>
        <w:t>percent</w:t>
      </w:r>
      <w:r w:rsidR="00F866B4">
        <w:rPr>
          <w:rStyle w:val="IntenseEmphasis"/>
          <w:b w:val="0"/>
          <w:i w:val="0"/>
          <w:color w:val="auto"/>
        </w:rPr>
        <w:t>)</w:t>
      </w:r>
      <w:r w:rsidR="00973D4A">
        <w:rPr>
          <w:rStyle w:val="IntenseEmphasis"/>
          <w:b w:val="0"/>
          <w:i w:val="0"/>
          <w:color w:val="auto"/>
        </w:rPr>
        <w:t xml:space="preserve"> and </w:t>
      </w:r>
      <w:r w:rsidR="00F866B4" w:rsidRPr="00F866B4">
        <w:rPr>
          <w:rStyle w:val="IntenseEmphasis"/>
          <w:b w:val="0"/>
          <w:i w:val="0"/>
          <w:color w:val="auto"/>
        </w:rPr>
        <w:t xml:space="preserve">high </w:t>
      </w:r>
      <w:r w:rsidR="00F866B4">
        <w:rPr>
          <w:rStyle w:val="IntenseEmphasis"/>
          <w:b w:val="0"/>
          <w:i w:val="0"/>
          <w:color w:val="auto"/>
        </w:rPr>
        <w:t xml:space="preserve">levels of household displacement. </w:t>
      </w:r>
      <w:r>
        <w:rPr>
          <w:rStyle w:val="IntenseEmphasis"/>
          <w:b w:val="0"/>
          <w:i w:val="0"/>
          <w:color w:val="auto"/>
        </w:rPr>
        <w:t xml:space="preserve">The </w:t>
      </w:r>
      <w:r w:rsidR="00F825BA" w:rsidRPr="00F825BA">
        <w:rPr>
          <w:rStyle w:val="IntenseEmphasis"/>
          <w:b w:val="0"/>
          <w:i w:val="0"/>
          <w:color w:val="auto"/>
        </w:rPr>
        <w:t>population of the newly liberated areas i</w:t>
      </w:r>
      <w:r>
        <w:rPr>
          <w:rStyle w:val="IntenseEmphasis"/>
          <w:b w:val="0"/>
          <w:i w:val="0"/>
          <w:color w:val="auto"/>
        </w:rPr>
        <w:t xml:space="preserve">s </w:t>
      </w:r>
      <w:r w:rsidR="00F866B4">
        <w:rPr>
          <w:rStyle w:val="IntenseEmphasis"/>
          <w:b w:val="0"/>
          <w:i w:val="0"/>
          <w:color w:val="auto"/>
        </w:rPr>
        <w:t xml:space="preserve">currently </w:t>
      </w:r>
      <w:r>
        <w:rPr>
          <w:rStyle w:val="IntenseEmphasis"/>
          <w:b w:val="0"/>
          <w:i w:val="0"/>
          <w:color w:val="auto"/>
        </w:rPr>
        <w:t xml:space="preserve">estimated at over 2.6 million: </w:t>
      </w:r>
      <w:r w:rsidR="005D50FD">
        <w:rPr>
          <w:rStyle w:val="IntenseEmphasis"/>
          <w:b w:val="0"/>
          <w:i w:val="0"/>
          <w:color w:val="auto"/>
        </w:rPr>
        <w:t xml:space="preserve">representing </w:t>
      </w:r>
      <w:r w:rsidR="00973D4A">
        <w:rPr>
          <w:rStyle w:val="IntenseEmphasis"/>
          <w:b w:val="0"/>
          <w:i w:val="0"/>
          <w:color w:val="auto"/>
        </w:rPr>
        <w:t>a</w:t>
      </w:r>
      <w:r w:rsidR="00D21C47">
        <w:rPr>
          <w:rStyle w:val="IntenseEmphasis"/>
          <w:b w:val="0"/>
          <w:i w:val="0"/>
          <w:color w:val="auto"/>
        </w:rPr>
        <w:t>pproxim</w:t>
      </w:r>
      <w:r w:rsidR="00973D4A">
        <w:rPr>
          <w:rStyle w:val="IntenseEmphasis"/>
          <w:b w:val="0"/>
          <w:i w:val="0"/>
          <w:color w:val="auto"/>
        </w:rPr>
        <w:t xml:space="preserve">ately </w:t>
      </w:r>
      <w:r w:rsidR="007A5C0D">
        <w:rPr>
          <w:rStyle w:val="IntenseEmphasis"/>
          <w:b w:val="0"/>
          <w:i w:val="0"/>
          <w:color w:val="auto"/>
        </w:rPr>
        <w:t>50 percent</w:t>
      </w:r>
      <w:r w:rsidR="00F825BA" w:rsidRPr="00F825BA">
        <w:rPr>
          <w:rStyle w:val="IntenseEmphasis"/>
          <w:b w:val="0"/>
          <w:i w:val="0"/>
          <w:color w:val="auto"/>
        </w:rPr>
        <w:t xml:space="preserve"> of Central</w:t>
      </w:r>
      <w:r w:rsidR="001952C1">
        <w:rPr>
          <w:rStyle w:val="IntenseEmphasis"/>
          <w:b w:val="0"/>
          <w:i w:val="0"/>
          <w:color w:val="auto"/>
        </w:rPr>
        <w:t xml:space="preserve"> and South Somalia</w:t>
      </w:r>
      <w:r w:rsidR="00F825BA" w:rsidRPr="00F825BA">
        <w:rPr>
          <w:rStyle w:val="IntenseEmphasis"/>
          <w:b w:val="0"/>
          <w:i w:val="0"/>
          <w:color w:val="auto"/>
        </w:rPr>
        <w:t xml:space="preserve"> p</w:t>
      </w:r>
      <w:r>
        <w:rPr>
          <w:rStyle w:val="IntenseEmphasis"/>
          <w:b w:val="0"/>
          <w:i w:val="0"/>
          <w:color w:val="auto"/>
        </w:rPr>
        <w:t>opulation,</w:t>
      </w:r>
      <w:r w:rsidR="00F825BA" w:rsidRPr="00F825BA">
        <w:rPr>
          <w:rStyle w:val="IntenseEmphasis"/>
          <w:b w:val="0"/>
          <w:i w:val="0"/>
          <w:color w:val="auto"/>
        </w:rPr>
        <w:t xml:space="preserve"> </w:t>
      </w:r>
      <w:r>
        <w:rPr>
          <w:rStyle w:val="IntenseEmphasis"/>
          <w:b w:val="0"/>
          <w:i w:val="0"/>
          <w:color w:val="auto"/>
        </w:rPr>
        <w:t xml:space="preserve">located </w:t>
      </w:r>
      <w:r w:rsidR="00F866B4">
        <w:rPr>
          <w:rStyle w:val="IntenseEmphasis"/>
          <w:b w:val="0"/>
          <w:i w:val="0"/>
          <w:color w:val="auto"/>
        </w:rPr>
        <w:t xml:space="preserve">predominantly </w:t>
      </w:r>
      <w:r>
        <w:rPr>
          <w:rStyle w:val="IntenseEmphasis"/>
          <w:b w:val="0"/>
          <w:i w:val="0"/>
          <w:color w:val="auto"/>
        </w:rPr>
        <w:t xml:space="preserve">in the urban </w:t>
      </w:r>
      <w:proofErr w:type="spellStart"/>
      <w:r>
        <w:rPr>
          <w:rStyle w:val="IntenseEmphasis"/>
          <w:b w:val="0"/>
          <w:i w:val="0"/>
          <w:color w:val="auto"/>
        </w:rPr>
        <w:t>centres</w:t>
      </w:r>
      <w:proofErr w:type="spellEnd"/>
      <w:r>
        <w:rPr>
          <w:rStyle w:val="IntenseEmphasis"/>
          <w:b w:val="0"/>
          <w:i w:val="0"/>
          <w:color w:val="auto"/>
        </w:rPr>
        <w:t xml:space="preserve"> of </w:t>
      </w:r>
      <w:proofErr w:type="spellStart"/>
      <w:r w:rsidR="00F866B4" w:rsidRPr="001303C7">
        <w:t>Ba</w:t>
      </w:r>
      <w:r w:rsidR="00F866B4">
        <w:t>idoa</w:t>
      </w:r>
      <w:proofErr w:type="spellEnd"/>
      <w:r w:rsidR="00F866B4">
        <w:t xml:space="preserve">, </w:t>
      </w:r>
      <w:proofErr w:type="spellStart"/>
      <w:r w:rsidR="00F866B4">
        <w:t>Beletwein</w:t>
      </w:r>
      <w:proofErr w:type="spellEnd"/>
      <w:r w:rsidR="00F866B4">
        <w:t xml:space="preserve">, </w:t>
      </w:r>
      <w:proofErr w:type="spellStart"/>
      <w:r w:rsidR="00F866B4">
        <w:t>Dolow</w:t>
      </w:r>
      <w:proofErr w:type="spellEnd"/>
      <w:r w:rsidR="00F866B4">
        <w:t xml:space="preserve">, </w:t>
      </w:r>
      <w:proofErr w:type="spellStart"/>
      <w:r w:rsidR="00F866B4">
        <w:t>Afgoye</w:t>
      </w:r>
      <w:proofErr w:type="spellEnd"/>
      <w:r w:rsidR="00F866B4">
        <w:t xml:space="preserve"> and </w:t>
      </w:r>
      <w:proofErr w:type="spellStart"/>
      <w:r w:rsidR="00F866B4" w:rsidRPr="001303C7">
        <w:t>Jowha</w:t>
      </w:r>
      <w:r w:rsidR="005D50FD">
        <w:t>r</w:t>
      </w:r>
      <w:proofErr w:type="spellEnd"/>
      <w:r w:rsidR="005D50FD">
        <w:t xml:space="preserve">. </w:t>
      </w:r>
    </w:p>
    <w:p w:rsidR="005D50FD" w:rsidRDefault="005D50FD" w:rsidP="002E3425">
      <w:pPr>
        <w:spacing w:after="0"/>
        <w:jc w:val="both"/>
      </w:pPr>
    </w:p>
    <w:p w:rsidR="00043675" w:rsidRDefault="005D50FD" w:rsidP="002E3425">
      <w:pPr>
        <w:spacing w:after="0"/>
        <w:jc w:val="both"/>
        <w:rPr>
          <w:rStyle w:val="IntenseEmphasis"/>
          <w:i w:val="0"/>
        </w:rPr>
      </w:pPr>
      <w:r>
        <w:t xml:space="preserve">In recent years, the Newly Recovered Areas have failed to benefit significantly from the </w:t>
      </w:r>
      <w:r w:rsidR="00973D4A">
        <w:t xml:space="preserve">revitalization of </w:t>
      </w:r>
      <w:r>
        <w:t xml:space="preserve">Mogadishu and their economic outlook, </w:t>
      </w:r>
      <w:r w:rsidR="00D21C47">
        <w:t>in part</w:t>
      </w:r>
      <w:r>
        <w:t xml:space="preserve"> due to continuing </w:t>
      </w:r>
      <w:r w:rsidR="00973D4A">
        <w:t xml:space="preserve">security issues </w:t>
      </w:r>
      <w:r>
        <w:t>and the threat of recurrent flooding</w:t>
      </w:r>
      <w:r w:rsidR="00D21C47">
        <w:t>, remains highly uncertain</w:t>
      </w:r>
      <w:r>
        <w:t xml:space="preserve">. Nevertheless it is widely agreed that </w:t>
      </w:r>
      <w:r w:rsidR="00973D4A">
        <w:t>significant economic potential exists in the region. Three of the sub-regions within Central</w:t>
      </w:r>
      <w:r w:rsidR="001952C1">
        <w:t xml:space="preserve"> and South Somalia</w:t>
      </w:r>
      <w:r w:rsidR="00973D4A">
        <w:t xml:space="preserve"> </w:t>
      </w:r>
      <w:r w:rsidR="003A6767" w:rsidRPr="003A6767">
        <w:rPr>
          <w:rStyle w:val="IntenseEmphasis"/>
          <w:b w:val="0"/>
          <w:i w:val="0"/>
          <w:color w:val="auto"/>
        </w:rPr>
        <w:t>(</w:t>
      </w:r>
      <w:proofErr w:type="spellStart"/>
      <w:r w:rsidR="003A6767" w:rsidRPr="003A6767">
        <w:rPr>
          <w:rStyle w:val="IntenseEmphasis"/>
          <w:b w:val="0"/>
          <w:i w:val="0"/>
          <w:color w:val="auto"/>
        </w:rPr>
        <w:t>Hiran</w:t>
      </w:r>
      <w:proofErr w:type="spellEnd"/>
      <w:r w:rsidR="003A6767" w:rsidRPr="003A6767">
        <w:rPr>
          <w:rStyle w:val="IntenseEmphasis"/>
          <w:b w:val="0"/>
          <w:i w:val="0"/>
          <w:color w:val="auto"/>
        </w:rPr>
        <w:t xml:space="preserve">, </w:t>
      </w:r>
      <w:proofErr w:type="spellStart"/>
      <w:r w:rsidR="003A6767" w:rsidRPr="003A6767">
        <w:rPr>
          <w:rStyle w:val="IntenseEmphasis"/>
          <w:b w:val="0"/>
          <w:i w:val="0"/>
          <w:color w:val="auto"/>
        </w:rPr>
        <w:t>Mid</w:t>
      </w:r>
      <w:r w:rsidR="00973D4A">
        <w:rPr>
          <w:rStyle w:val="IntenseEmphasis"/>
          <w:b w:val="0"/>
          <w:i w:val="0"/>
          <w:color w:val="auto"/>
        </w:rPr>
        <w:t>le</w:t>
      </w:r>
      <w:proofErr w:type="spellEnd"/>
      <w:r w:rsidR="00973D4A">
        <w:rPr>
          <w:rStyle w:val="IntenseEmphasis"/>
          <w:b w:val="0"/>
          <w:i w:val="0"/>
          <w:color w:val="auto"/>
        </w:rPr>
        <w:t xml:space="preserve"> and Lower </w:t>
      </w:r>
      <w:proofErr w:type="spellStart"/>
      <w:r w:rsidR="00973D4A">
        <w:rPr>
          <w:rStyle w:val="IntenseEmphasis"/>
          <w:b w:val="0"/>
          <w:i w:val="0"/>
          <w:color w:val="auto"/>
        </w:rPr>
        <w:t>Shabelle</w:t>
      </w:r>
      <w:proofErr w:type="spellEnd"/>
      <w:r w:rsidR="00973D4A">
        <w:rPr>
          <w:rStyle w:val="IntenseEmphasis"/>
          <w:b w:val="0"/>
          <w:i w:val="0"/>
          <w:color w:val="auto"/>
        </w:rPr>
        <w:t>) form the a</w:t>
      </w:r>
      <w:r w:rsidR="003A6767" w:rsidRPr="003A6767">
        <w:rPr>
          <w:rStyle w:val="IntenseEmphasis"/>
          <w:b w:val="0"/>
          <w:i w:val="0"/>
          <w:color w:val="auto"/>
        </w:rPr>
        <w:t xml:space="preserve">gricultural food basket of Somalia with the most fertile land for both </w:t>
      </w:r>
      <w:r w:rsidR="003A6767" w:rsidRPr="003A6767">
        <w:rPr>
          <w:rStyle w:val="IntenseEmphasis"/>
          <w:b w:val="0"/>
          <w:i w:val="0"/>
          <w:color w:val="auto"/>
        </w:rPr>
        <w:lastRenderedPageBreak/>
        <w:t xml:space="preserve">subsistence and commercial farming. Similarly, Bay and </w:t>
      </w:r>
      <w:proofErr w:type="spellStart"/>
      <w:r w:rsidR="003A6767" w:rsidRPr="003A6767">
        <w:rPr>
          <w:rStyle w:val="IntenseEmphasis"/>
          <w:b w:val="0"/>
          <w:i w:val="0"/>
          <w:color w:val="auto"/>
        </w:rPr>
        <w:t>Gedo</w:t>
      </w:r>
      <w:proofErr w:type="spellEnd"/>
      <w:r w:rsidR="003A6767" w:rsidRPr="003A6767">
        <w:rPr>
          <w:rStyle w:val="IntenseEmphasis"/>
          <w:b w:val="0"/>
          <w:i w:val="0"/>
          <w:color w:val="auto"/>
        </w:rPr>
        <w:t xml:space="preserve"> </w:t>
      </w:r>
      <w:r w:rsidR="00973D4A">
        <w:rPr>
          <w:rStyle w:val="IntenseEmphasis"/>
          <w:b w:val="0"/>
          <w:i w:val="0"/>
          <w:color w:val="auto"/>
        </w:rPr>
        <w:t>sub-</w:t>
      </w:r>
      <w:r w:rsidR="003A6767" w:rsidRPr="003A6767">
        <w:rPr>
          <w:rStyle w:val="IntenseEmphasis"/>
          <w:b w:val="0"/>
          <w:i w:val="0"/>
          <w:color w:val="auto"/>
        </w:rPr>
        <w:t>regions host large stocks of lives</w:t>
      </w:r>
      <w:r w:rsidR="001952C1">
        <w:rPr>
          <w:rStyle w:val="IntenseEmphasis"/>
          <w:b w:val="0"/>
          <w:i w:val="0"/>
          <w:color w:val="auto"/>
        </w:rPr>
        <w:t>tock in addition to mainly rain-</w:t>
      </w:r>
      <w:r w:rsidR="003A6767" w:rsidRPr="003A6767">
        <w:rPr>
          <w:rStyle w:val="IntenseEmphasis"/>
          <w:b w:val="0"/>
          <w:i w:val="0"/>
          <w:color w:val="auto"/>
        </w:rPr>
        <w:t xml:space="preserve">fed farms. </w:t>
      </w:r>
      <w:proofErr w:type="spellStart"/>
      <w:r w:rsidR="003A6767" w:rsidRPr="003A6767">
        <w:rPr>
          <w:rStyle w:val="IntenseEmphasis"/>
          <w:b w:val="0"/>
          <w:i w:val="0"/>
          <w:color w:val="auto"/>
        </w:rPr>
        <w:t>Bel</w:t>
      </w:r>
      <w:r w:rsidR="00973D4A">
        <w:rPr>
          <w:rStyle w:val="IntenseEmphasis"/>
          <w:b w:val="0"/>
          <w:i w:val="0"/>
          <w:color w:val="auto"/>
        </w:rPr>
        <w:t>etwein</w:t>
      </w:r>
      <w:proofErr w:type="spellEnd"/>
      <w:r w:rsidR="00973D4A">
        <w:rPr>
          <w:rStyle w:val="IntenseEmphasis"/>
          <w:b w:val="0"/>
          <w:i w:val="0"/>
          <w:color w:val="auto"/>
        </w:rPr>
        <w:t xml:space="preserve"> and </w:t>
      </w:r>
      <w:proofErr w:type="spellStart"/>
      <w:r w:rsidR="00973D4A">
        <w:rPr>
          <w:rStyle w:val="IntenseEmphasis"/>
          <w:b w:val="0"/>
          <w:i w:val="0"/>
          <w:color w:val="auto"/>
        </w:rPr>
        <w:t>Dolow</w:t>
      </w:r>
      <w:proofErr w:type="spellEnd"/>
      <w:r w:rsidR="00973D4A">
        <w:rPr>
          <w:rStyle w:val="IntenseEmphasis"/>
          <w:b w:val="0"/>
          <w:i w:val="0"/>
          <w:color w:val="auto"/>
        </w:rPr>
        <w:t xml:space="preserve"> districts are extremely</w:t>
      </w:r>
      <w:r w:rsidR="003A6767" w:rsidRPr="003A6767">
        <w:rPr>
          <w:rStyle w:val="IntenseEmphasis"/>
          <w:b w:val="0"/>
          <w:i w:val="0"/>
          <w:color w:val="auto"/>
        </w:rPr>
        <w:t xml:space="preserve"> active in trade activities given their border relations with Ethiopia and Kenya</w:t>
      </w:r>
      <w:r w:rsidR="00973D4A">
        <w:rPr>
          <w:rStyle w:val="IntenseEmphasis"/>
          <w:b w:val="0"/>
          <w:i w:val="0"/>
          <w:color w:val="auto"/>
        </w:rPr>
        <w:t xml:space="preserve"> respectively</w:t>
      </w:r>
      <w:r w:rsidR="003A6767" w:rsidRPr="003A6767">
        <w:rPr>
          <w:rStyle w:val="IntenseEmphasis"/>
          <w:b w:val="0"/>
          <w:i w:val="0"/>
          <w:color w:val="auto"/>
        </w:rPr>
        <w:t>. Both animal and agricultural commodities are traded</w:t>
      </w:r>
      <w:r w:rsidR="001952C1">
        <w:rPr>
          <w:rStyle w:val="IntenseEmphasis"/>
          <w:b w:val="0"/>
          <w:i w:val="0"/>
          <w:color w:val="auto"/>
        </w:rPr>
        <w:t>,</w:t>
      </w:r>
      <w:r w:rsidR="003A6767" w:rsidRPr="003A6767">
        <w:rPr>
          <w:rStyle w:val="IntenseEmphasis"/>
          <w:b w:val="0"/>
          <w:i w:val="0"/>
          <w:color w:val="auto"/>
        </w:rPr>
        <w:t xml:space="preserve"> gener</w:t>
      </w:r>
      <w:r w:rsidR="001952C1">
        <w:rPr>
          <w:rStyle w:val="IntenseEmphasis"/>
          <w:b w:val="0"/>
          <w:i w:val="0"/>
          <w:color w:val="auto"/>
        </w:rPr>
        <w:t>ating</w:t>
      </w:r>
      <w:r w:rsidR="00D21C47">
        <w:rPr>
          <w:rStyle w:val="IntenseEmphasis"/>
          <w:b w:val="0"/>
          <w:i w:val="0"/>
          <w:color w:val="auto"/>
        </w:rPr>
        <w:t xml:space="preserve"> significant</w:t>
      </w:r>
      <w:r w:rsidR="003A6767" w:rsidRPr="003A6767">
        <w:rPr>
          <w:rStyle w:val="IntenseEmphasis"/>
          <w:b w:val="0"/>
          <w:i w:val="0"/>
          <w:color w:val="auto"/>
        </w:rPr>
        <w:t xml:space="preserve"> employment</w:t>
      </w:r>
      <w:r w:rsidR="00D21C47">
        <w:rPr>
          <w:rStyle w:val="IntenseEmphasis"/>
          <w:b w:val="0"/>
          <w:i w:val="0"/>
          <w:color w:val="auto"/>
        </w:rPr>
        <w:t xml:space="preserve"> and</w:t>
      </w:r>
      <w:r w:rsidR="003A6767" w:rsidRPr="003A6767">
        <w:rPr>
          <w:rStyle w:val="IntenseEmphasis"/>
          <w:b w:val="0"/>
          <w:i w:val="0"/>
          <w:color w:val="auto"/>
        </w:rPr>
        <w:t xml:space="preserve"> income.</w:t>
      </w:r>
      <w:r w:rsidR="002630DC">
        <w:rPr>
          <w:rStyle w:val="IntenseEmphasis"/>
          <w:b w:val="0"/>
          <w:i w:val="0"/>
          <w:color w:val="auto"/>
        </w:rPr>
        <w:t xml:space="preserve"> </w:t>
      </w:r>
      <w:r w:rsidR="00973D4A">
        <w:rPr>
          <w:rStyle w:val="IntenseEmphasis"/>
          <w:b w:val="0"/>
          <w:i w:val="0"/>
          <w:color w:val="auto"/>
        </w:rPr>
        <w:t>The region also h</w:t>
      </w:r>
      <w:r w:rsidR="00BA1370">
        <w:rPr>
          <w:rStyle w:val="IntenseEmphasis"/>
          <w:b w:val="0"/>
          <w:i w:val="0"/>
          <w:color w:val="auto"/>
        </w:rPr>
        <w:t>a</w:t>
      </w:r>
      <w:r w:rsidR="001952C1">
        <w:rPr>
          <w:rStyle w:val="IntenseEmphasis"/>
          <w:b w:val="0"/>
          <w:i w:val="0"/>
          <w:color w:val="auto"/>
        </w:rPr>
        <w:t>rbo</w:t>
      </w:r>
      <w:r w:rsidR="00BA1370">
        <w:rPr>
          <w:rStyle w:val="IntenseEmphasis"/>
          <w:b w:val="0"/>
          <w:i w:val="0"/>
          <w:color w:val="auto"/>
        </w:rPr>
        <w:t>rs</w:t>
      </w:r>
      <w:r w:rsidR="00973D4A">
        <w:rPr>
          <w:rStyle w:val="IntenseEmphasis"/>
          <w:b w:val="0"/>
          <w:i w:val="0"/>
          <w:color w:val="auto"/>
        </w:rPr>
        <w:t xml:space="preserve"> natural resource assets, including hydrocarbons</w:t>
      </w:r>
      <w:r w:rsidR="00D21C47">
        <w:rPr>
          <w:rStyle w:val="IntenseEmphasis"/>
          <w:b w:val="0"/>
          <w:i w:val="0"/>
          <w:color w:val="auto"/>
        </w:rPr>
        <w:t xml:space="preserve"> deposits</w:t>
      </w:r>
      <w:r w:rsidR="00973D4A">
        <w:rPr>
          <w:rStyle w:val="IntenseEmphasis"/>
          <w:b w:val="0"/>
          <w:i w:val="0"/>
          <w:color w:val="auto"/>
        </w:rPr>
        <w:t>.</w:t>
      </w:r>
    </w:p>
    <w:p w:rsidR="00973D4A" w:rsidRDefault="00973D4A" w:rsidP="002E3425">
      <w:pPr>
        <w:spacing w:after="0"/>
        <w:jc w:val="both"/>
        <w:rPr>
          <w:rStyle w:val="IntenseEmphasis"/>
          <w:i w:val="0"/>
        </w:rPr>
      </w:pPr>
    </w:p>
    <w:p w:rsidR="00CF3FF0" w:rsidRPr="00882405" w:rsidRDefault="00813172" w:rsidP="002E3425">
      <w:pPr>
        <w:spacing w:after="0"/>
        <w:jc w:val="both"/>
        <w:rPr>
          <w:rStyle w:val="IntenseEmphasis"/>
          <w:i w:val="0"/>
        </w:rPr>
      </w:pPr>
      <w:r>
        <w:rPr>
          <w:rStyle w:val="IntenseEmphasis"/>
          <w:i w:val="0"/>
        </w:rPr>
        <w:t>Emerging Development F</w:t>
      </w:r>
      <w:r w:rsidR="00973D4A">
        <w:rPr>
          <w:rStyle w:val="IntenseEmphasis"/>
          <w:i w:val="0"/>
        </w:rPr>
        <w:t>rameworks</w:t>
      </w:r>
      <w:r w:rsidR="004A6A2C">
        <w:rPr>
          <w:rStyle w:val="IntenseEmphasis"/>
          <w:i w:val="0"/>
        </w:rPr>
        <w:t xml:space="preserve"> </w:t>
      </w:r>
    </w:p>
    <w:p w:rsidR="00D85E6F" w:rsidRDefault="00D85E6F" w:rsidP="002E3425">
      <w:pPr>
        <w:spacing w:after="0"/>
        <w:jc w:val="both"/>
        <w:rPr>
          <w:b/>
        </w:rPr>
      </w:pPr>
    </w:p>
    <w:p w:rsidR="00951D58" w:rsidRDefault="00DC23E0" w:rsidP="002E3425">
      <w:pPr>
        <w:spacing w:after="0"/>
        <w:jc w:val="both"/>
      </w:pPr>
      <w:r>
        <w:t xml:space="preserve">Considerable efforts are now underway to </w:t>
      </w:r>
      <w:r w:rsidR="00D21C47">
        <w:t>create development frameworks that will assist in capitalizing on economic opportunities in Central</w:t>
      </w:r>
      <w:r w:rsidR="001952C1">
        <w:t xml:space="preserve"> and South </w:t>
      </w:r>
      <w:r w:rsidR="00D21C47">
        <w:t xml:space="preserve">Somalia. </w:t>
      </w:r>
      <w:r>
        <w:t xml:space="preserve">In </w:t>
      </w:r>
      <w:r w:rsidR="00F055DD">
        <w:t>2012, the newly formed</w:t>
      </w:r>
      <w:r>
        <w:t xml:space="preserve"> FGS launched its</w:t>
      </w:r>
      <w:r w:rsidR="00951D58">
        <w:t xml:space="preserve"> </w:t>
      </w:r>
      <w:r w:rsidR="00F055DD">
        <w:t xml:space="preserve">six-pillar </w:t>
      </w:r>
      <w:r w:rsidR="00951D58">
        <w:t>policy</w:t>
      </w:r>
      <w:r w:rsidR="00F055DD">
        <w:t xml:space="preserve"> entitled ‘Foundations for a New Beginning.’  Pillar two of the policy refers to </w:t>
      </w:r>
      <w:r w:rsidR="001952C1">
        <w:t xml:space="preserve">the </w:t>
      </w:r>
      <w:r w:rsidR="00BE7C5C">
        <w:t xml:space="preserve">need to promote </w:t>
      </w:r>
      <w:r w:rsidR="00F055DD">
        <w:t>economic</w:t>
      </w:r>
      <w:r w:rsidR="00BE7C5C">
        <w:t xml:space="preserve"> stabilization and</w:t>
      </w:r>
      <w:r w:rsidR="00F055DD">
        <w:t xml:space="preserve"> recovery through a range of measures including the rehabilitation of basic economic infrastructure, employment creation and vocational training, the development of market structures and institutions and support for enhanced agricultural production. </w:t>
      </w:r>
    </w:p>
    <w:p w:rsidR="00F055DD" w:rsidRDefault="00F055DD" w:rsidP="002E3425">
      <w:pPr>
        <w:spacing w:after="0"/>
        <w:jc w:val="both"/>
      </w:pPr>
    </w:p>
    <w:p w:rsidR="000F07F1" w:rsidRDefault="00F055DD" w:rsidP="002E3425">
      <w:pPr>
        <w:spacing w:after="0"/>
        <w:jc w:val="both"/>
      </w:pPr>
      <w:r>
        <w:t xml:space="preserve">Many of these commitments are </w:t>
      </w:r>
      <w:r w:rsidR="00BE7C5C">
        <w:t>currently</w:t>
      </w:r>
      <w:r>
        <w:t xml:space="preserve"> being taken forward through the </w:t>
      </w:r>
      <w:r w:rsidR="00BE7C5C">
        <w:t xml:space="preserve">FGS’s </w:t>
      </w:r>
      <w:r>
        <w:t>New Deal</w:t>
      </w:r>
      <w:r w:rsidR="00BE7C5C">
        <w:t xml:space="preserve"> initiative with the support of the international community.  Pillar 4 of the New Deal highlights the need to build strong ‘economic foundations’ giving priority to </w:t>
      </w:r>
      <w:r w:rsidR="000F07F1">
        <w:t xml:space="preserve">productive infrastructure, youth employment and legal and regulatory frameworks for enhanced natural resource management. It is anticipated that these priorities will be further underlined in the Somalia Economic Recovery Plan </w:t>
      </w:r>
      <w:r w:rsidR="001C4AF4">
        <w:t xml:space="preserve">that </w:t>
      </w:r>
      <w:r w:rsidR="000F07F1">
        <w:t>is being prepared,</w:t>
      </w:r>
      <w:r w:rsidR="001952C1">
        <w:t xml:space="preserve"> with </w:t>
      </w:r>
      <w:r w:rsidR="000F07F1">
        <w:t>World Bank</w:t>
      </w:r>
      <w:r w:rsidR="001952C1">
        <w:t xml:space="preserve"> support</w:t>
      </w:r>
      <w:r w:rsidR="00F77747">
        <w:t>, for tabling at the Brussels C</w:t>
      </w:r>
      <w:r w:rsidR="000F07F1">
        <w:t>onference</w:t>
      </w:r>
      <w:r w:rsidR="00F77747">
        <w:t xml:space="preserve"> </w:t>
      </w:r>
      <w:r w:rsidR="001C4AF4">
        <w:t>in</w:t>
      </w:r>
      <w:r w:rsidR="00F77747">
        <w:t xml:space="preserve"> mid-</w:t>
      </w:r>
      <w:r w:rsidR="000F07F1">
        <w:t xml:space="preserve">September 2013. </w:t>
      </w:r>
    </w:p>
    <w:p w:rsidR="000F07F1" w:rsidRDefault="000F07F1" w:rsidP="002E3425">
      <w:pPr>
        <w:spacing w:after="0"/>
        <w:jc w:val="both"/>
      </w:pPr>
    </w:p>
    <w:p w:rsidR="00F055DD" w:rsidRDefault="000F07F1" w:rsidP="002E3425">
      <w:pPr>
        <w:spacing w:after="0"/>
        <w:jc w:val="both"/>
      </w:pPr>
      <w:r>
        <w:t xml:space="preserve">Concurrently work is being undertaken on the development of the FGS’s </w:t>
      </w:r>
      <w:proofErr w:type="spellStart"/>
      <w:r>
        <w:t>Stabilisation</w:t>
      </w:r>
      <w:proofErr w:type="spellEnd"/>
      <w:r>
        <w:t xml:space="preserve"> Plan for the Newly Recovered Areas. The Stabilization Plan</w:t>
      </w:r>
      <w:r w:rsidR="00F77747">
        <w:t xml:space="preserve"> is intended to take forward the priorities of the New Deal initiative in the Newly Recovered areas, recognizing the fundamental importance of economic development and employment creation for securing peace and stability and preventing a resu</w:t>
      </w:r>
      <w:r w:rsidR="001C4AF4">
        <w:t>rgenc</w:t>
      </w:r>
      <w:r w:rsidR="00F77747">
        <w:t>e of conflict.</w:t>
      </w:r>
      <w:r w:rsidR="001C4AF4">
        <w:t xml:space="preserve"> The current draft of the plan </w:t>
      </w:r>
      <w:r w:rsidR="002E3425">
        <w:t xml:space="preserve">similarly </w:t>
      </w:r>
      <w:r w:rsidR="001C4AF4">
        <w:t>emphasizes the</w:t>
      </w:r>
      <w:r w:rsidR="002E3425">
        <w:t xml:space="preserve"> need </w:t>
      </w:r>
      <w:r w:rsidR="002E3425" w:rsidRPr="002E3425">
        <w:rPr>
          <w:i/>
        </w:rPr>
        <w:t>inter alia</w:t>
      </w:r>
      <w:r w:rsidR="002E3425">
        <w:t xml:space="preserve"> to rehabilitate economic infrastructure,</w:t>
      </w:r>
      <w:r w:rsidR="001C4AF4">
        <w:t xml:space="preserve"> </w:t>
      </w:r>
      <w:r w:rsidR="002E3425">
        <w:t xml:space="preserve">generate employment opportunities and vocational development, and enhance agricultural productivity. </w:t>
      </w:r>
    </w:p>
    <w:p w:rsidR="00951D58" w:rsidRDefault="00951D58" w:rsidP="002E3425">
      <w:pPr>
        <w:spacing w:after="0"/>
        <w:jc w:val="both"/>
      </w:pPr>
    </w:p>
    <w:p w:rsidR="00F12765" w:rsidRPr="00882405" w:rsidRDefault="00F12765" w:rsidP="002E3425">
      <w:pPr>
        <w:spacing w:after="0"/>
        <w:jc w:val="both"/>
        <w:rPr>
          <w:rStyle w:val="IntenseEmphasis"/>
          <w:i w:val="0"/>
        </w:rPr>
      </w:pPr>
      <w:r w:rsidRPr="00882405">
        <w:rPr>
          <w:rStyle w:val="IntenseEmphasis"/>
          <w:i w:val="0"/>
        </w:rPr>
        <w:t>Project Aims and Objectives</w:t>
      </w:r>
      <w:r w:rsidR="004A6A2C">
        <w:rPr>
          <w:rStyle w:val="IntenseEmphasis"/>
          <w:i w:val="0"/>
        </w:rPr>
        <w:t xml:space="preserve"> </w:t>
      </w:r>
    </w:p>
    <w:p w:rsidR="00882405" w:rsidRDefault="00882405" w:rsidP="002E3425">
      <w:pPr>
        <w:spacing w:after="0"/>
        <w:jc w:val="both"/>
        <w:rPr>
          <w:rStyle w:val="IntenseEmphasis"/>
          <w:i w:val="0"/>
        </w:rPr>
      </w:pPr>
    </w:p>
    <w:p w:rsidR="007C501A" w:rsidRPr="00D85E6F" w:rsidRDefault="00013343" w:rsidP="002E3425">
      <w:pPr>
        <w:spacing w:after="0"/>
        <w:jc w:val="both"/>
        <w:rPr>
          <w:i/>
        </w:rPr>
      </w:pPr>
      <w:r w:rsidRPr="00D85E6F">
        <w:rPr>
          <w:i/>
        </w:rPr>
        <w:t xml:space="preserve">Overall </w:t>
      </w:r>
      <w:r w:rsidR="006F490A" w:rsidRPr="00D85E6F">
        <w:rPr>
          <w:i/>
        </w:rPr>
        <w:t>Aim</w:t>
      </w:r>
    </w:p>
    <w:p w:rsidR="007C501A" w:rsidRDefault="007C501A" w:rsidP="002E3425">
      <w:pPr>
        <w:spacing w:after="0"/>
        <w:jc w:val="both"/>
        <w:rPr>
          <w:b/>
        </w:rPr>
      </w:pPr>
    </w:p>
    <w:p w:rsidR="007C501A" w:rsidRDefault="00A842EA" w:rsidP="002E3425">
      <w:pPr>
        <w:jc w:val="both"/>
        <w:rPr>
          <w:rFonts w:cstheme="minorHAnsi"/>
          <w:iCs/>
        </w:rPr>
      </w:pPr>
      <w:r>
        <w:rPr>
          <w:rFonts w:cstheme="minorHAnsi"/>
          <w:iCs/>
        </w:rPr>
        <w:t>In keeping with the FGS’s priorities as outlined above, the overall aim of the</w:t>
      </w:r>
      <w:r w:rsidR="007C501A" w:rsidRPr="00DF44E6">
        <w:rPr>
          <w:rFonts w:cstheme="minorHAnsi"/>
          <w:iCs/>
        </w:rPr>
        <w:t xml:space="preserve"> project is to support </w:t>
      </w:r>
      <w:r w:rsidR="007C501A">
        <w:rPr>
          <w:rFonts w:cstheme="minorHAnsi"/>
          <w:iCs/>
        </w:rPr>
        <w:t xml:space="preserve">rapid economic </w:t>
      </w:r>
      <w:r w:rsidR="007C501A" w:rsidRPr="00DF44E6">
        <w:rPr>
          <w:rFonts w:cstheme="minorHAnsi"/>
          <w:iCs/>
        </w:rPr>
        <w:t xml:space="preserve">stabilization </w:t>
      </w:r>
      <w:r w:rsidR="007C501A">
        <w:rPr>
          <w:rFonts w:cstheme="minorHAnsi"/>
          <w:iCs/>
        </w:rPr>
        <w:t xml:space="preserve">and recovery in the Newly Recovered Areas of Central </w:t>
      </w:r>
      <w:r w:rsidR="001952C1">
        <w:rPr>
          <w:rFonts w:cstheme="minorHAnsi"/>
          <w:iCs/>
        </w:rPr>
        <w:t xml:space="preserve">and </w:t>
      </w:r>
      <w:r w:rsidR="007C501A">
        <w:rPr>
          <w:rFonts w:cstheme="minorHAnsi"/>
          <w:iCs/>
        </w:rPr>
        <w:t>South Somalia, through measures to address local infrastructure deficits, expand employment opportunities</w:t>
      </w:r>
      <w:r>
        <w:rPr>
          <w:rFonts w:cstheme="minorHAnsi"/>
          <w:iCs/>
        </w:rPr>
        <w:t xml:space="preserve"> (particularly for y</w:t>
      </w:r>
      <w:r w:rsidR="007C501A">
        <w:rPr>
          <w:rFonts w:cstheme="minorHAnsi"/>
          <w:iCs/>
        </w:rPr>
        <w:t xml:space="preserve">outh) and improve the management of natural resources. </w:t>
      </w:r>
      <w:r w:rsidR="007C501A" w:rsidRPr="00DF44E6">
        <w:rPr>
          <w:rFonts w:cstheme="minorHAnsi"/>
          <w:iCs/>
        </w:rPr>
        <w:t xml:space="preserve">  </w:t>
      </w:r>
    </w:p>
    <w:p w:rsidR="006F490A" w:rsidRPr="00A842EA" w:rsidRDefault="00A842EA" w:rsidP="002E3425">
      <w:pPr>
        <w:spacing w:after="0"/>
        <w:jc w:val="both"/>
      </w:pPr>
      <w:r w:rsidRPr="00A842EA">
        <w:t>The specific objectives of the project are:</w:t>
      </w:r>
    </w:p>
    <w:p w:rsidR="00D85E6F" w:rsidRPr="00D85E6F" w:rsidRDefault="00D85E6F" w:rsidP="002E3425">
      <w:pPr>
        <w:spacing w:after="0"/>
        <w:jc w:val="both"/>
        <w:rPr>
          <w:i/>
        </w:rPr>
      </w:pPr>
    </w:p>
    <w:p w:rsidR="00A842EA" w:rsidRDefault="00A842EA" w:rsidP="002E3425">
      <w:pPr>
        <w:pStyle w:val="ListParagraph"/>
        <w:numPr>
          <w:ilvl w:val="0"/>
          <w:numId w:val="3"/>
        </w:numPr>
        <w:spacing w:after="0"/>
        <w:jc w:val="both"/>
      </w:pPr>
      <w:r>
        <w:lastRenderedPageBreak/>
        <w:t>To rehabilitate and reconstruct essential local infrastructure</w:t>
      </w:r>
      <w:r w:rsidR="001104C6">
        <w:t xml:space="preserve"> that will impact directly on economic development including energy supply, roads and irrigation systems</w:t>
      </w:r>
    </w:p>
    <w:p w:rsidR="00A842EA" w:rsidRDefault="00A842EA" w:rsidP="002E3425">
      <w:pPr>
        <w:pStyle w:val="ListParagraph"/>
        <w:numPr>
          <w:ilvl w:val="0"/>
          <w:numId w:val="3"/>
        </w:numPr>
        <w:spacing w:after="0"/>
        <w:jc w:val="both"/>
      </w:pPr>
      <w:r>
        <w:t>To significantly reduce unemployment and underemployment, through a combination of short-term ‘cash for work’</w:t>
      </w:r>
      <w:r w:rsidR="001952C1">
        <w:t xml:space="preserve"> and economic reintegration initiatives, and medium-</w:t>
      </w:r>
      <w:r>
        <w:t>term measures to promote employment demand in the private sector and ensure the supply of appropriate market-based skills</w:t>
      </w:r>
    </w:p>
    <w:p w:rsidR="00CF3FF0" w:rsidRPr="00CF3FF0" w:rsidRDefault="001104C6" w:rsidP="002E3425">
      <w:pPr>
        <w:pStyle w:val="ListParagraph"/>
        <w:numPr>
          <w:ilvl w:val="0"/>
          <w:numId w:val="3"/>
        </w:numPr>
        <w:spacing w:after="0"/>
        <w:jc w:val="both"/>
      </w:pPr>
      <w:r>
        <w:t>To foster the s</w:t>
      </w:r>
      <w:r w:rsidR="006F490A">
        <w:t>ustainable management of natural</w:t>
      </w:r>
      <w:r w:rsidR="0022393B">
        <w:t xml:space="preserve"> </w:t>
      </w:r>
      <w:r>
        <w:t xml:space="preserve"> assets, including agricultural land, livestock, fisheries and mineral deposits</w:t>
      </w:r>
    </w:p>
    <w:p w:rsidR="000B6D45" w:rsidRDefault="000B6D45" w:rsidP="002E3425">
      <w:pPr>
        <w:spacing w:after="0"/>
        <w:jc w:val="both"/>
        <w:rPr>
          <w:b/>
        </w:rPr>
      </w:pPr>
    </w:p>
    <w:p w:rsidR="00F12765" w:rsidRPr="00882405" w:rsidRDefault="00F12765" w:rsidP="002E3425">
      <w:pPr>
        <w:spacing w:after="0"/>
        <w:jc w:val="both"/>
        <w:rPr>
          <w:rStyle w:val="IntenseEmphasis"/>
          <w:i w:val="0"/>
        </w:rPr>
      </w:pPr>
      <w:r w:rsidRPr="00882405">
        <w:rPr>
          <w:rStyle w:val="IntenseEmphasis"/>
          <w:i w:val="0"/>
        </w:rPr>
        <w:t>Project Approach</w:t>
      </w:r>
      <w:r w:rsidR="00D04AC6">
        <w:rPr>
          <w:rStyle w:val="IntenseEmphasis"/>
          <w:i w:val="0"/>
        </w:rPr>
        <w:t xml:space="preserve"> </w:t>
      </w:r>
    </w:p>
    <w:p w:rsidR="00882405" w:rsidRDefault="00882405" w:rsidP="002E3425">
      <w:pPr>
        <w:spacing w:after="0"/>
        <w:jc w:val="both"/>
        <w:rPr>
          <w:rStyle w:val="IntenseEmphasis"/>
          <w:i w:val="0"/>
        </w:rPr>
      </w:pPr>
    </w:p>
    <w:p w:rsidR="00F77747" w:rsidRPr="00F77747" w:rsidRDefault="00F77747" w:rsidP="002E3425">
      <w:pPr>
        <w:spacing w:after="0"/>
        <w:jc w:val="both"/>
        <w:rPr>
          <w:rStyle w:val="IntenseEmphasis"/>
          <w:b w:val="0"/>
          <w:i w:val="0"/>
          <w:color w:val="auto"/>
        </w:rPr>
      </w:pPr>
      <w:r w:rsidRPr="00F77747">
        <w:rPr>
          <w:rStyle w:val="IntenseEmphasis"/>
          <w:b w:val="0"/>
          <w:i w:val="0"/>
          <w:color w:val="auto"/>
        </w:rPr>
        <w:t xml:space="preserve">The project will take an area-based development approach, focusing on the </w:t>
      </w:r>
      <w:r w:rsidR="003478B1">
        <w:rPr>
          <w:rStyle w:val="IntenseEmphasis"/>
          <w:b w:val="0"/>
          <w:i w:val="0"/>
          <w:color w:val="auto"/>
        </w:rPr>
        <w:t>six</w:t>
      </w:r>
      <w:bookmarkStart w:id="0" w:name="_GoBack"/>
      <w:bookmarkEnd w:id="0"/>
      <w:r w:rsidRPr="00F77747">
        <w:rPr>
          <w:rStyle w:val="IntenseEmphasis"/>
          <w:b w:val="0"/>
          <w:i w:val="0"/>
          <w:color w:val="auto"/>
        </w:rPr>
        <w:t xml:space="preserve"> key urban districts </w:t>
      </w:r>
      <w:proofErr w:type="gramStart"/>
      <w:r w:rsidRPr="00F77747">
        <w:rPr>
          <w:rStyle w:val="IntenseEmphasis"/>
          <w:b w:val="0"/>
          <w:i w:val="0"/>
          <w:color w:val="auto"/>
        </w:rPr>
        <w:t xml:space="preserve">of  </w:t>
      </w:r>
      <w:proofErr w:type="spellStart"/>
      <w:r w:rsidRPr="00F77747">
        <w:rPr>
          <w:rStyle w:val="IntenseEmphasis"/>
          <w:b w:val="0"/>
          <w:i w:val="0"/>
          <w:color w:val="auto"/>
        </w:rPr>
        <w:t>Afgoye</w:t>
      </w:r>
      <w:proofErr w:type="spellEnd"/>
      <w:proofErr w:type="gramEnd"/>
      <w:r w:rsidRPr="00F77747">
        <w:rPr>
          <w:rStyle w:val="IntenseEmphasis"/>
          <w:b w:val="0"/>
          <w:i w:val="0"/>
          <w:color w:val="auto"/>
        </w:rPr>
        <w:t xml:space="preserve">, </w:t>
      </w:r>
      <w:proofErr w:type="spellStart"/>
      <w:r w:rsidRPr="00F77747">
        <w:rPr>
          <w:rStyle w:val="IntenseEmphasis"/>
          <w:b w:val="0"/>
          <w:i w:val="0"/>
          <w:color w:val="auto"/>
        </w:rPr>
        <w:t>Baidoa</w:t>
      </w:r>
      <w:proofErr w:type="spellEnd"/>
      <w:r w:rsidRPr="00F77747">
        <w:rPr>
          <w:rStyle w:val="IntenseEmphasis"/>
          <w:b w:val="0"/>
          <w:i w:val="0"/>
          <w:color w:val="auto"/>
        </w:rPr>
        <w:t xml:space="preserve">, </w:t>
      </w:r>
      <w:proofErr w:type="spellStart"/>
      <w:r w:rsidRPr="00F77747">
        <w:rPr>
          <w:rStyle w:val="IntenseEmphasis"/>
          <w:b w:val="0"/>
          <w:i w:val="0"/>
          <w:color w:val="auto"/>
        </w:rPr>
        <w:t>Beletwein</w:t>
      </w:r>
      <w:proofErr w:type="spellEnd"/>
      <w:r w:rsidRPr="00F77747">
        <w:rPr>
          <w:rStyle w:val="IntenseEmphasis"/>
          <w:b w:val="0"/>
          <w:i w:val="0"/>
          <w:color w:val="auto"/>
        </w:rPr>
        <w:t xml:space="preserve">, </w:t>
      </w:r>
      <w:proofErr w:type="spellStart"/>
      <w:r w:rsidRPr="00F77747">
        <w:rPr>
          <w:rStyle w:val="IntenseEmphasis"/>
          <w:b w:val="0"/>
          <w:i w:val="0"/>
          <w:color w:val="auto"/>
        </w:rPr>
        <w:t>Dolow</w:t>
      </w:r>
      <w:proofErr w:type="spellEnd"/>
      <w:r w:rsidRPr="00F77747">
        <w:rPr>
          <w:rStyle w:val="IntenseEmphasis"/>
          <w:b w:val="0"/>
          <w:i w:val="0"/>
          <w:color w:val="auto"/>
        </w:rPr>
        <w:t xml:space="preserve">, </w:t>
      </w:r>
      <w:proofErr w:type="spellStart"/>
      <w:r w:rsidRPr="00F77747">
        <w:rPr>
          <w:rStyle w:val="IntenseEmphasis"/>
          <w:b w:val="0"/>
          <w:i w:val="0"/>
          <w:color w:val="auto"/>
        </w:rPr>
        <w:t>Jowhar</w:t>
      </w:r>
      <w:proofErr w:type="spellEnd"/>
      <w:r w:rsidRPr="00F77747">
        <w:rPr>
          <w:rStyle w:val="IntenseEmphasis"/>
          <w:b w:val="0"/>
          <w:i w:val="0"/>
          <w:color w:val="auto"/>
        </w:rPr>
        <w:t xml:space="preserve"> and Mogadishu.</w:t>
      </w:r>
    </w:p>
    <w:p w:rsidR="00F77747" w:rsidRPr="00F77747" w:rsidRDefault="00F77747" w:rsidP="002E3425">
      <w:pPr>
        <w:spacing w:after="0"/>
        <w:jc w:val="both"/>
        <w:rPr>
          <w:rStyle w:val="IntenseEmphasis"/>
          <w:b w:val="0"/>
          <w:i w:val="0"/>
          <w:color w:val="auto"/>
        </w:rPr>
      </w:pPr>
    </w:p>
    <w:p w:rsidR="001104C6" w:rsidRPr="00D04AC6" w:rsidRDefault="002E3425" w:rsidP="002E3425">
      <w:pPr>
        <w:spacing w:after="0"/>
        <w:jc w:val="both"/>
        <w:rPr>
          <w:rStyle w:val="IntenseEmphasis"/>
          <w:b w:val="0"/>
          <w:i w:val="0"/>
          <w:color w:val="auto"/>
        </w:rPr>
      </w:pPr>
      <w:r>
        <w:rPr>
          <w:rStyle w:val="IntenseEmphasis"/>
          <w:b w:val="0"/>
          <w:i w:val="0"/>
          <w:color w:val="auto"/>
        </w:rPr>
        <w:t xml:space="preserve">Implementation of </w:t>
      </w:r>
      <w:r w:rsidR="001104C6" w:rsidRPr="00D04AC6">
        <w:rPr>
          <w:rStyle w:val="IntenseEmphasis"/>
          <w:b w:val="0"/>
          <w:i w:val="0"/>
          <w:color w:val="auto"/>
        </w:rPr>
        <w:t>the project will be based on the following principles:</w:t>
      </w:r>
    </w:p>
    <w:p w:rsidR="001104C6" w:rsidRDefault="001104C6" w:rsidP="002E3425">
      <w:pPr>
        <w:spacing w:after="0"/>
        <w:jc w:val="both"/>
        <w:rPr>
          <w:rStyle w:val="IntenseEmphasis"/>
          <w:i w:val="0"/>
        </w:rPr>
      </w:pPr>
    </w:p>
    <w:p w:rsidR="007C501A" w:rsidRPr="001104C6" w:rsidRDefault="007C501A" w:rsidP="002E3425">
      <w:pPr>
        <w:spacing w:after="0"/>
        <w:jc w:val="both"/>
      </w:pPr>
      <w:proofErr w:type="spellStart"/>
      <w:r w:rsidRPr="00D85E6F">
        <w:rPr>
          <w:i/>
        </w:rPr>
        <w:t>Additionality</w:t>
      </w:r>
      <w:proofErr w:type="spellEnd"/>
      <w:r w:rsidR="00AC7578">
        <w:rPr>
          <w:i/>
        </w:rPr>
        <w:t xml:space="preserve"> </w:t>
      </w:r>
      <w:r w:rsidR="001104C6">
        <w:rPr>
          <w:i/>
        </w:rPr>
        <w:t xml:space="preserve">- </w:t>
      </w:r>
      <w:r w:rsidR="001104C6" w:rsidRPr="001104C6">
        <w:t>strenuous efforts will be made through</w:t>
      </w:r>
      <w:r w:rsidR="00D04AC6">
        <w:t>out</w:t>
      </w:r>
      <w:r w:rsidR="001104C6" w:rsidRPr="001104C6">
        <w:t xml:space="preserve"> the detailed design and implementation phases of th</w:t>
      </w:r>
      <w:r w:rsidR="001104C6">
        <w:t xml:space="preserve">e project to </w:t>
      </w:r>
      <w:proofErr w:type="spellStart"/>
      <w:r w:rsidR="0038077C">
        <w:t>minimise</w:t>
      </w:r>
      <w:proofErr w:type="spellEnd"/>
      <w:r w:rsidR="001104C6">
        <w:t xml:space="preserve"> management overheads, ensure a</w:t>
      </w:r>
      <w:r w:rsidR="008D608A">
        <w:t xml:space="preserve"> ‘no </w:t>
      </w:r>
      <w:r w:rsidR="001104C6">
        <w:t>greater than necessary</w:t>
      </w:r>
      <w:r w:rsidR="008D608A">
        <w:t>’</w:t>
      </w:r>
      <w:r w:rsidR="001104C6">
        <w:t xml:space="preserve"> flow of resources into analytical tasks (e.g. economic opportunity mapping and value chain studies), and </w:t>
      </w:r>
      <w:proofErr w:type="spellStart"/>
      <w:r w:rsidR="006F5154">
        <w:t>maximise</w:t>
      </w:r>
      <w:proofErr w:type="spellEnd"/>
      <w:r w:rsidR="001104C6">
        <w:t xml:space="preserve"> synergies with</w:t>
      </w:r>
      <w:r w:rsidR="002C5422">
        <w:t xml:space="preserve"> other planned or pipeline</w:t>
      </w:r>
      <w:r w:rsidR="001104C6">
        <w:t xml:space="preserve"> activities undertaken with the support of FGS, municipalities, other international </w:t>
      </w:r>
      <w:proofErr w:type="spellStart"/>
      <w:r w:rsidR="001104C6">
        <w:t>organisations</w:t>
      </w:r>
      <w:proofErr w:type="spellEnd"/>
      <w:r w:rsidR="001104C6">
        <w:t>.</w:t>
      </w:r>
      <w:r w:rsidR="00D04AC6">
        <w:t xml:space="preserve"> Wherever feasible and appropriate, the project will work with existing local institutions with a view to promoting their long-term sustainability.</w:t>
      </w:r>
    </w:p>
    <w:p w:rsidR="001104C6" w:rsidRDefault="001104C6" w:rsidP="002E3425">
      <w:pPr>
        <w:spacing w:after="0"/>
        <w:jc w:val="both"/>
        <w:rPr>
          <w:i/>
        </w:rPr>
      </w:pPr>
    </w:p>
    <w:p w:rsidR="007C501A" w:rsidRDefault="007C501A" w:rsidP="002E3425">
      <w:pPr>
        <w:spacing w:after="0"/>
        <w:jc w:val="both"/>
      </w:pPr>
      <w:r w:rsidRPr="00D85E6F">
        <w:rPr>
          <w:i/>
        </w:rPr>
        <w:t>Local ownership</w:t>
      </w:r>
      <w:r w:rsidR="00AC7578">
        <w:rPr>
          <w:i/>
        </w:rPr>
        <w:t xml:space="preserve"> </w:t>
      </w:r>
      <w:r w:rsidR="00D04AC6">
        <w:rPr>
          <w:i/>
        </w:rPr>
        <w:t xml:space="preserve">- </w:t>
      </w:r>
      <w:r w:rsidR="00D04AC6">
        <w:t>Consistent with the need to increase the visibility of legitimate government and other development stakeholder insti</w:t>
      </w:r>
      <w:r w:rsidR="006F5154">
        <w:t>t</w:t>
      </w:r>
      <w:r w:rsidR="00D04AC6">
        <w:t>utions in the targe</w:t>
      </w:r>
      <w:r w:rsidR="006F5154">
        <w:t xml:space="preserve">t areas, the project will ensure full local participation in decision-making processes throughout the project cycle, including the initial selection, assessment and design phases. </w:t>
      </w:r>
      <w:r w:rsidR="00BF5865" w:rsidRPr="00BF5865">
        <w:t>K</w:t>
      </w:r>
      <w:r w:rsidR="006F5154" w:rsidRPr="00BF5865">
        <w:t>ey project</w:t>
      </w:r>
      <w:r w:rsidR="006F5154">
        <w:t xml:space="preserve"> outputs will be delivered through and attributed to appropriate Federal and Local Government institutio</w:t>
      </w:r>
      <w:r w:rsidR="008D608A">
        <w:t xml:space="preserve">ns. Project assets will be transferred to local institutions </w:t>
      </w:r>
      <w:r w:rsidR="000B75FE">
        <w:t xml:space="preserve">as appropriate </w:t>
      </w:r>
      <w:r w:rsidR="008D608A">
        <w:t>on completion of the project.</w:t>
      </w:r>
    </w:p>
    <w:p w:rsidR="0008557D" w:rsidRDefault="0008557D" w:rsidP="002E3425">
      <w:pPr>
        <w:spacing w:after="0"/>
        <w:jc w:val="both"/>
      </w:pPr>
    </w:p>
    <w:p w:rsidR="0008557D" w:rsidRDefault="0008557D" w:rsidP="002E3425">
      <w:pPr>
        <w:spacing w:after="0"/>
        <w:jc w:val="both"/>
      </w:pPr>
      <w:r w:rsidRPr="0008557D">
        <w:t>Synergy will be sought with other local initiatives such as</w:t>
      </w:r>
      <w:r>
        <w:t xml:space="preserve"> the UNDP led Joint </w:t>
      </w:r>
      <w:proofErr w:type="spellStart"/>
      <w:r>
        <w:t>Programme</w:t>
      </w:r>
      <w:proofErr w:type="spellEnd"/>
      <w:r>
        <w:t xml:space="preserve"> for Local Government </w:t>
      </w:r>
      <w:r w:rsidRPr="0008557D">
        <w:t xml:space="preserve"> </w:t>
      </w:r>
      <w:r>
        <w:t>(</w:t>
      </w:r>
      <w:r w:rsidRPr="0008557D">
        <w:t>JPLG</w:t>
      </w:r>
      <w:r>
        <w:t>)</w:t>
      </w:r>
      <w:r w:rsidRPr="0008557D">
        <w:t>, to ensure that actions on the ground are endorsed through</w:t>
      </w:r>
      <w:r w:rsidR="002C5422">
        <w:t xml:space="preserve">, </w:t>
      </w:r>
      <w:r w:rsidRPr="0008557D">
        <w:t>and captured in</w:t>
      </w:r>
      <w:r w:rsidR="002C5422">
        <w:t>,</w:t>
      </w:r>
      <w:r w:rsidRPr="0008557D">
        <w:t xml:space="preserve"> the local district development planning apparatus</w:t>
      </w:r>
      <w:r>
        <w:t xml:space="preserve"> where appropriate (see also </w:t>
      </w:r>
      <w:r w:rsidRPr="0008557D">
        <w:rPr>
          <w:i/>
        </w:rPr>
        <w:t>Local Economic Development Strategies</w:t>
      </w:r>
      <w:r>
        <w:t xml:space="preserve"> below)</w:t>
      </w:r>
      <w:r w:rsidRPr="0008557D">
        <w:t xml:space="preserve">. </w:t>
      </w:r>
      <w:r>
        <w:t xml:space="preserve">This will ensure local buy-in and in the longer run will </w:t>
      </w:r>
      <w:r w:rsidRPr="0008557D">
        <w:t xml:space="preserve">provide room for monitoring, reviews, sharing of best practices and possible replication of successful pilots and models in other districts.  </w:t>
      </w:r>
    </w:p>
    <w:p w:rsidR="0008557D" w:rsidRPr="00D04AC6" w:rsidRDefault="0008557D" w:rsidP="002E3425">
      <w:pPr>
        <w:spacing w:after="0"/>
        <w:jc w:val="both"/>
      </w:pPr>
    </w:p>
    <w:p w:rsidR="007C501A" w:rsidRPr="008D608A" w:rsidRDefault="007C501A" w:rsidP="002E3425">
      <w:pPr>
        <w:spacing w:after="0"/>
        <w:jc w:val="both"/>
      </w:pPr>
      <w:r w:rsidRPr="00D85E6F">
        <w:rPr>
          <w:i/>
        </w:rPr>
        <w:t>Capacity Building</w:t>
      </w:r>
      <w:r w:rsidR="002630DC">
        <w:rPr>
          <w:i/>
        </w:rPr>
        <w:t xml:space="preserve"> </w:t>
      </w:r>
      <w:r w:rsidR="00AC7578">
        <w:rPr>
          <w:i/>
        </w:rPr>
        <w:t xml:space="preserve">- </w:t>
      </w:r>
      <w:r w:rsidR="002630DC">
        <w:rPr>
          <w:i/>
        </w:rPr>
        <w:t xml:space="preserve"> </w:t>
      </w:r>
      <w:r w:rsidR="008D608A" w:rsidRPr="008D608A">
        <w:t>Concurrently with the above, the project will mainstream measures to strengthen the capacity and effectiveness of local partner institutions, including where necessary through formal training initiatives, technical twinning arrangements and exchanges of experience</w:t>
      </w:r>
      <w:r w:rsidR="008D608A">
        <w:t xml:space="preserve"> with counterpart institutions elsewhere within Somalia and the </w:t>
      </w:r>
      <w:r w:rsidR="000B75FE">
        <w:t xml:space="preserve">East Africa </w:t>
      </w:r>
      <w:r w:rsidR="008D608A">
        <w:t>region</w:t>
      </w:r>
      <w:r w:rsidR="008D608A" w:rsidRPr="008D608A">
        <w:t>.</w:t>
      </w:r>
    </w:p>
    <w:p w:rsidR="006F5154" w:rsidRDefault="006F5154" w:rsidP="002E3425">
      <w:pPr>
        <w:spacing w:after="0"/>
        <w:jc w:val="both"/>
        <w:rPr>
          <w:i/>
        </w:rPr>
      </w:pPr>
    </w:p>
    <w:p w:rsidR="007C501A" w:rsidRPr="00BF5865" w:rsidRDefault="007C501A" w:rsidP="002E3425">
      <w:pPr>
        <w:spacing w:after="0"/>
        <w:jc w:val="both"/>
      </w:pPr>
      <w:r w:rsidRPr="00BF5865">
        <w:rPr>
          <w:i/>
        </w:rPr>
        <w:lastRenderedPageBreak/>
        <w:t>Multi-track</w:t>
      </w:r>
      <w:r w:rsidR="00D85E6F" w:rsidRPr="00BF5865">
        <w:rPr>
          <w:i/>
        </w:rPr>
        <w:t>ing</w:t>
      </w:r>
      <w:r w:rsidR="00AC7578">
        <w:rPr>
          <w:i/>
        </w:rPr>
        <w:t xml:space="preserve"> </w:t>
      </w:r>
      <w:r w:rsidR="002E3425">
        <w:rPr>
          <w:i/>
        </w:rPr>
        <w:t>-</w:t>
      </w:r>
      <w:r w:rsidR="00AC7578">
        <w:rPr>
          <w:i/>
        </w:rPr>
        <w:t xml:space="preserve"> </w:t>
      </w:r>
      <w:r w:rsidR="008D608A" w:rsidRPr="00BF5865">
        <w:t xml:space="preserve">The technical approach to the project will be driven by recognized international best practices and the </w:t>
      </w:r>
      <w:r w:rsidR="000B75FE" w:rsidRPr="00BF5865">
        <w:t xml:space="preserve">(joint) </w:t>
      </w:r>
      <w:r w:rsidR="008D608A" w:rsidRPr="00BF5865">
        <w:t xml:space="preserve">United </w:t>
      </w:r>
      <w:r w:rsidR="000B75FE" w:rsidRPr="00BF5865">
        <w:t xml:space="preserve">Nations </w:t>
      </w:r>
      <w:r w:rsidR="008D608A" w:rsidRPr="00BF5865">
        <w:t>Policy</w:t>
      </w:r>
      <w:r w:rsidR="000B75FE" w:rsidRPr="00BF5865">
        <w:t xml:space="preserve"> for Post Conflict Employment Creation, Income Regeneration and Reintegration.  Accordingly, project activities (below) will be designed to:</w:t>
      </w:r>
    </w:p>
    <w:p w:rsidR="000B75FE" w:rsidRPr="00BF5865" w:rsidRDefault="000B75FE" w:rsidP="002E3425">
      <w:pPr>
        <w:spacing w:after="0"/>
        <w:jc w:val="both"/>
      </w:pPr>
    </w:p>
    <w:p w:rsidR="000B75FE" w:rsidRPr="00BF5865" w:rsidRDefault="000B75FE" w:rsidP="002E3425">
      <w:pPr>
        <w:pStyle w:val="ListParagraph"/>
        <w:numPr>
          <w:ilvl w:val="0"/>
          <w:numId w:val="19"/>
        </w:numPr>
        <w:spacing w:after="0"/>
        <w:jc w:val="both"/>
      </w:pPr>
      <w:r w:rsidRPr="00BF5865">
        <w:t>Stabilize income generation and emergency employment with the aim of consolidating</w:t>
      </w:r>
    </w:p>
    <w:p w:rsidR="000B75FE" w:rsidRPr="00BF5865" w:rsidRDefault="000B75FE" w:rsidP="002E3425">
      <w:pPr>
        <w:pStyle w:val="ListParagraph"/>
        <w:spacing w:after="0"/>
        <w:jc w:val="both"/>
      </w:pPr>
      <w:proofErr w:type="gramStart"/>
      <w:r w:rsidRPr="00BF5865">
        <w:t>security</w:t>
      </w:r>
      <w:proofErr w:type="gramEnd"/>
      <w:r w:rsidRPr="00BF5865">
        <w:t xml:space="preserve"> and stability, targeting conflict‐affected individuals and groups </w:t>
      </w:r>
      <w:r w:rsidR="0011300C" w:rsidRPr="00BF5865">
        <w:t>(track A)</w:t>
      </w:r>
    </w:p>
    <w:p w:rsidR="000B75FE" w:rsidRPr="00BF5865" w:rsidRDefault="0011300C" w:rsidP="002E3425">
      <w:pPr>
        <w:pStyle w:val="ListParagraph"/>
        <w:numPr>
          <w:ilvl w:val="0"/>
          <w:numId w:val="19"/>
        </w:numPr>
        <w:spacing w:after="0"/>
        <w:jc w:val="both"/>
      </w:pPr>
      <w:r w:rsidRPr="00BF5865">
        <w:t xml:space="preserve">Promote </w:t>
      </w:r>
      <w:r w:rsidR="000B75FE" w:rsidRPr="00BF5865">
        <w:t>local economic recovery for employmen</w:t>
      </w:r>
      <w:r w:rsidRPr="00BF5865">
        <w:t>t and reintegration (track B)</w:t>
      </w:r>
    </w:p>
    <w:p w:rsidR="000B75FE" w:rsidRPr="00BF5865" w:rsidRDefault="0011300C" w:rsidP="002E3425">
      <w:pPr>
        <w:pStyle w:val="ListParagraph"/>
        <w:numPr>
          <w:ilvl w:val="0"/>
          <w:numId w:val="19"/>
        </w:numPr>
        <w:spacing w:after="0"/>
        <w:jc w:val="both"/>
      </w:pPr>
      <w:r w:rsidRPr="00BF5865">
        <w:t xml:space="preserve">Support corresponding policies </w:t>
      </w:r>
      <w:r w:rsidR="000B75FE" w:rsidRPr="00BF5865">
        <w:t>and institutional capacity building at the national level, including a framework</w:t>
      </w:r>
      <w:r w:rsidRPr="00BF5865">
        <w:t xml:space="preserve"> for social dialogue (track C)</w:t>
      </w:r>
    </w:p>
    <w:p w:rsidR="0011300C" w:rsidRPr="00BF5865" w:rsidRDefault="0011300C" w:rsidP="002E3425">
      <w:pPr>
        <w:spacing w:after="0"/>
        <w:jc w:val="both"/>
      </w:pPr>
    </w:p>
    <w:p w:rsidR="0011300C" w:rsidRPr="00BF5865" w:rsidRDefault="007C7334" w:rsidP="002E3425">
      <w:pPr>
        <w:spacing w:after="0"/>
        <w:jc w:val="both"/>
      </w:pPr>
      <w:r w:rsidRPr="00BF5865">
        <w:t>Tracks</w:t>
      </w:r>
      <w:r w:rsidR="0011300C" w:rsidRPr="00BF5865">
        <w:t xml:space="preserve"> A-C </w:t>
      </w:r>
      <w:r w:rsidR="00AC7578">
        <w:t>will</w:t>
      </w:r>
      <w:r w:rsidR="0011300C" w:rsidRPr="00BF5865">
        <w:t xml:space="preserve"> be implemented simultaneously following the initial assessment and design phases.</w:t>
      </w:r>
    </w:p>
    <w:p w:rsidR="000B75FE" w:rsidRPr="008D608A" w:rsidRDefault="000B75FE" w:rsidP="002E3425">
      <w:pPr>
        <w:spacing w:after="0"/>
        <w:jc w:val="both"/>
      </w:pPr>
    </w:p>
    <w:p w:rsidR="007E578B" w:rsidRPr="00882405" w:rsidRDefault="00D85E6F" w:rsidP="002E3425">
      <w:pPr>
        <w:spacing w:after="0"/>
        <w:jc w:val="both"/>
        <w:rPr>
          <w:rStyle w:val="IntenseEmphasis"/>
          <w:i w:val="0"/>
        </w:rPr>
      </w:pPr>
      <w:r w:rsidRPr="00882405">
        <w:rPr>
          <w:rStyle w:val="IntenseEmphasis"/>
          <w:i w:val="0"/>
        </w:rPr>
        <w:t xml:space="preserve">Project </w:t>
      </w:r>
      <w:r w:rsidR="00466EE8">
        <w:rPr>
          <w:rStyle w:val="IntenseEmphasis"/>
          <w:i w:val="0"/>
        </w:rPr>
        <w:t>Components</w:t>
      </w:r>
    </w:p>
    <w:p w:rsidR="007C501A" w:rsidRDefault="007C501A" w:rsidP="002E3425">
      <w:pPr>
        <w:spacing w:after="0"/>
        <w:jc w:val="both"/>
        <w:rPr>
          <w:rStyle w:val="IntenseEmphasis"/>
          <w:i w:val="0"/>
          <w:highlight w:val="yellow"/>
        </w:rPr>
      </w:pPr>
    </w:p>
    <w:p w:rsidR="00466EE8" w:rsidRPr="00466EE8" w:rsidRDefault="00466EE8" w:rsidP="00AC7578">
      <w:pPr>
        <w:spacing w:after="0"/>
        <w:jc w:val="both"/>
        <w:rPr>
          <w:rStyle w:val="IntenseEmphasis"/>
          <w:b w:val="0"/>
          <w:i w:val="0"/>
          <w:color w:val="auto"/>
        </w:rPr>
      </w:pPr>
      <w:r>
        <w:rPr>
          <w:rStyle w:val="IntenseEmphasis"/>
          <w:b w:val="0"/>
          <w:i w:val="0"/>
          <w:color w:val="auto"/>
        </w:rPr>
        <w:t xml:space="preserve">Key project components are described briefly below. </w:t>
      </w:r>
      <w:r w:rsidR="001952C1">
        <w:rPr>
          <w:rStyle w:val="IntenseEmphasis"/>
          <w:b w:val="0"/>
          <w:i w:val="0"/>
          <w:color w:val="auto"/>
        </w:rPr>
        <w:t>These are for the most part</w:t>
      </w:r>
      <w:r w:rsidR="00AC7578">
        <w:rPr>
          <w:rStyle w:val="IntenseEmphasis"/>
          <w:b w:val="0"/>
          <w:i w:val="0"/>
          <w:color w:val="auto"/>
        </w:rPr>
        <w:t xml:space="preserve"> indicative and should be interpreted as ‘menu items’, to be drawn down in response the findings of the economic assessment </w:t>
      </w:r>
      <w:r w:rsidR="00424604">
        <w:rPr>
          <w:rStyle w:val="IntenseEmphasis"/>
          <w:b w:val="0"/>
          <w:i w:val="0"/>
          <w:color w:val="auto"/>
        </w:rPr>
        <w:t>process in individual Newly Recovered A</w:t>
      </w:r>
      <w:r w:rsidR="00AC7578">
        <w:rPr>
          <w:rStyle w:val="IntenseEmphasis"/>
          <w:b w:val="0"/>
          <w:i w:val="0"/>
          <w:color w:val="auto"/>
        </w:rPr>
        <w:t xml:space="preserve">reas (below). </w:t>
      </w:r>
    </w:p>
    <w:p w:rsidR="00466EE8" w:rsidRDefault="00466EE8" w:rsidP="002E3425">
      <w:pPr>
        <w:spacing w:after="0"/>
        <w:jc w:val="both"/>
        <w:rPr>
          <w:i/>
        </w:rPr>
      </w:pPr>
    </w:p>
    <w:p w:rsidR="0011300C" w:rsidRPr="0011300C" w:rsidRDefault="0011300C" w:rsidP="002E3425">
      <w:pPr>
        <w:spacing w:after="0"/>
        <w:jc w:val="both"/>
        <w:rPr>
          <w:i/>
        </w:rPr>
      </w:pPr>
      <w:r w:rsidRPr="0011300C">
        <w:rPr>
          <w:i/>
        </w:rPr>
        <w:t>Economic Assessments</w:t>
      </w:r>
    </w:p>
    <w:p w:rsidR="0011300C" w:rsidRPr="0011300C" w:rsidRDefault="0011300C" w:rsidP="002E3425">
      <w:pPr>
        <w:spacing w:after="0"/>
        <w:jc w:val="both"/>
        <w:rPr>
          <w:i/>
        </w:rPr>
      </w:pPr>
    </w:p>
    <w:p w:rsidR="007E578B" w:rsidRDefault="00424604" w:rsidP="002E3425">
      <w:pPr>
        <w:spacing w:after="0"/>
        <w:jc w:val="both"/>
      </w:pPr>
      <w:r>
        <w:t>Most</w:t>
      </w:r>
      <w:r w:rsidR="007B2E99">
        <w:t xml:space="preserve"> Newly Recovered Areas reflect at le</w:t>
      </w:r>
      <w:r>
        <w:t xml:space="preserve">ast two decades of unregulated </w:t>
      </w:r>
      <w:r w:rsidR="007B2E99">
        <w:t>economic activity superimposed over the communist centra</w:t>
      </w:r>
      <w:r w:rsidR="00AC7578">
        <w:t xml:space="preserve">l planning structures of the </w:t>
      </w:r>
      <w:proofErr w:type="spellStart"/>
      <w:r w:rsidR="00AC7578">
        <w:t>Sia</w:t>
      </w:r>
      <w:r w:rsidR="007B2E99">
        <w:t>d</w:t>
      </w:r>
      <w:proofErr w:type="spellEnd"/>
      <w:r w:rsidR="007B2E99">
        <w:t xml:space="preserve"> Barre era. As a consequence the task of economic recovery </w:t>
      </w:r>
      <w:r w:rsidR="00B23550">
        <w:t>is not simply</w:t>
      </w:r>
      <w:r w:rsidR="0038077C">
        <w:t xml:space="preserve"> one of </w:t>
      </w:r>
      <w:r w:rsidR="00B23550">
        <w:t xml:space="preserve">rehabilitating existing infrastructure and productive facilities. In many </w:t>
      </w:r>
      <w:r w:rsidR="007E578B">
        <w:t xml:space="preserve">areas </w:t>
      </w:r>
      <w:r w:rsidR="00B23550">
        <w:t xml:space="preserve">it </w:t>
      </w:r>
      <w:r w:rsidR="00AC7578">
        <w:t xml:space="preserve">will </w:t>
      </w:r>
      <w:r w:rsidR="00B23550">
        <w:t xml:space="preserve">involve a more fundamental </w:t>
      </w:r>
      <w:r>
        <w:t>reorientation of economic activity</w:t>
      </w:r>
      <w:r w:rsidR="00B23550">
        <w:t xml:space="preserve"> with a view to capitalizing on </w:t>
      </w:r>
      <w:r w:rsidR="007E578B">
        <w:t xml:space="preserve">future </w:t>
      </w:r>
      <w:r w:rsidR="00B23550">
        <w:t xml:space="preserve">employment growth potential within the context of emerging local, national and regional markets. For this reason </w:t>
      </w:r>
      <w:r w:rsidR="007E578B">
        <w:t xml:space="preserve">initial </w:t>
      </w:r>
      <w:r w:rsidR="00B23550">
        <w:t xml:space="preserve">economic assessments, aimed at </w:t>
      </w:r>
      <w:r w:rsidR="007E578B">
        <w:t xml:space="preserve">identifying ‘quick wins’ and </w:t>
      </w:r>
      <w:r w:rsidR="00B23550">
        <w:t xml:space="preserve">mapping existing economic activities and sources of future growth potential, will </w:t>
      </w:r>
      <w:r w:rsidR="007E578B">
        <w:t xml:space="preserve">be essential to identify project </w:t>
      </w:r>
      <w:r w:rsidR="0081650D">
        <w:t xml:space="preserve">priorities and appropriate </w:t>
      </w:r>
      <w:r w:rsidR="007E578B">
        <w:t>interventions.</w:t>
      </w:r>
    </w:p>
    <w:p w:rsidR="007E578B" w:rsidRDefault="007E578B" w:rsidP="002E3425">
      <w:pPr>
        <w:spacing w:after="0"/>
        <w:jc w:val="both"/>
      </w:pPr>
    </w:p>
    <w:p w:rsidR="007C7334" w:rsidRPr="007C7334" w:rsidRDefault="007E578B" w:rsidP="002E3425">
      <w:pPr>
        <w:spacing w:after="0"/>
        <w:jc w:val="both"/>
      </w:pPr>
      <w:r w:rsidRPr="007E578B">
        <w:t xml:space="preserve">Economic Assessments will be undertaken through local consultations and focus group meetings with economic stakeholders in each area. They will cover </w:t>
      </w:r>
      <w:r w:rsidR="00466EE8" w:rsidRPr="00466EE8">
        <w:rPr>
          <w:i/>
        </w:rPr>
        <w:t>inter alia</w:t>
      </w:r>
      <w:r>
        <w:t xml:space="preserve"> the a</w:t>
      </w:r>
      <w:r w:rsidRPr="007E578B">
        <w:t>vailability of land and property suitable for productive uses</w:t>
      </w:r>
      <w:r>
        <w:t>; p</w:t>
      </w:r>
      <w:r w:rsidR="00BC4528">
        <w:t>roductive assets</w:t>
      </w:r>
      <w:r w:rsidR="007C7334" w:rsidRPr="007C7334">
        <w:t xml:space="preserve"> including land suitab</w:t>
      </w:r>
      <w:r>
        <w:t>le for cultivation, pasture,</w:t>
      </w:r>
      <w:r w:rsidR="007C7334" w:rsidRPr="007C7334">
        <w:t xml:space="preserve"> ‘exploitable’ natural resources, processin</w:t>
      </w:r>
      <w:r>
        <w:t>g and production facilities; b</w:t>
      </w:r>
      <w:r w:rsidR="007C7334" w:rsidRPr="007C7334">
        <w:t xml:space="preserve">asic </w:t>
      </w:r>
      <w:proofErr w:type="spellStart"/>
      <w:r w:rsidR="007C7334" w:rsidRPr="007C7334">
        <w:t>labou</w:t>
      </w:r>
      <w:r w:rsidR="00C923A0">
        <w:t>r</w:t>
      </w:r>
      <w:proofErr w:type="spellEnd"/>
      <w:r w:rsidR="00C923A0">
        <w:t xml:space="preserve"> market  indicators; access to energy; access to markets, local financial sources and growth potential sectors / value chains.</w:t>
      </w:r>
    </w:p>
    <w:p w:rsidR="007C7334" w:rsidRPr="007C7334" w:rsidRDefault="007C7334" w:rsidP="002E3425">
      <w:pPr>
        <w:spacing w:after="0"/>
        <w:jc w:val="both"/>
      </w:pPr>
    </w:p>
    <w:p w:rsidR="0011300C" w:rsidRDefault="00424A2C" w:rsidP="002E3425">
      <w:pPr>
        <w:spacing w:after="0"/>
        <w:jc w:val="both"/>
        <w:rPr>
          <w:i/>
        </w:rPr>
      </w:pPr>
      <w:r w:rsidRPr="00424A2C">
        <w:rPr>
          <w:i/>
        </w:rPr>
        <w:t>Local Economic Development Strategies</w:t>
      </w:r>
    </w:p>
    <w:p w:rsidR="00424A2C" w:rsidRDefault="00424A2C" w:rsidP="002E3425">
      <w:pPr>
        <w:spacing w:after="0"/>
        <w:jc w:val="both"/>
        <w:rPr>
          <w:i/>
        </w:rPr>
      </w:pPr>
    </w:p>
    <w:p w:rsidR="00C51BEE" w:rsidRDefault="0038077C" w:rsidP="002E3425">
      <w:pPr>
        <w:spacing w:after="0"/>
        <w:jc w:val="both"/>
      </w:pPr>
      <w:r>
        <w:t xml:space="preserve">As acknowledged in the </w:t>
      </w:r>
      <w:r w:rsidR="0008557D">
        <w:t>JPLG</w:t>
      </w:r>
      <w:r>
        <w:t xml:space="preserve">, there is an </w:t>
      </w:r>
      <w:r w:rsidR="00C51BEE">
        <w:t xml:space="preserve">important need for functioning local authorities in the Newly Recovered Areas to develop the capacity for economic development </w:t>
      </w:r>
      <w:proofErr w:type="gramStart"/>
      <w:r w:rsidR="00C51BEE">
        <w:t>planning,</w:t>
      </w:r>
      <w:proofErr w:type="gramEnd"/>
      <w:r w:rsidR="00C51BEE">
        <w:t xml:space="preserve"> and in the longer run to formulate medium term local economic development </w:t>
      </w:r>
      <w:r w:rsidR="00523510">
        <w:t>strategies</w:t>
      </w:r>
      <w:r w:rsidR="00BC4528">
        <w:t xml:space="preserve"> that can be used to gui</w:t>
      </w:r>
      <w:r>
        <w:t xml:space="preserve">de investment and public policy </w:t>
      </w:r>
      <w:r w:rsidR="00BC4528">
        <w:t>decisions aimed at local growth and employment creation.</w:t>
      </w:r>
    </w:p>
    <w:p w:rsidR="00BC4528" w:rsidRDefault="00BC4528" w:rsidP="002E3425">
      <w:pPr>
        <w:spacing w:after="0"/>
        <w:jc w:val="both"/>
      </w:pPr>
    </w:p>
    <w:p w:rsidR="00C923A0" w:rsidRDefault="00C51BEE" w:rsidP="002E3425">
      <w:pPr>
        <w:spacing w:after="0"/>
        <w:jc w:val="both"/>
      </w:pPr>
      <w:r>
        <w:t xml:space="preserve">In areas with functioning local authorities, economic assessments will be undertaken in close cooperation with relevant regional and local </w:t>
      </w:r>
      <w:r w:rsidR="00523510">
        <w:t xml:space="preserve">government </w:t>
      </w:r>
      <w:r>
        <w:t xml:space="preserve">officials. </w:t>
      </w:r>
      <w:r w:rsidR="00BC4528">
        <w:t>SWOT analyses produced as par</w:t>
      </w:r>
      <w:r w:rsidR="002C5422">
        <w:t>t of the assessment process will</w:t>
      </w:r>
      <w:r w:rsidR="00BC4528">
        <w:t xml:space="preserve"> be used as a basis for workshops with participating local authorities on the development of public-private partnerships and the formulation of local eco</w:t>
      </w:r>
      <w:r w:rsidR="00153D81">
        <w:t>nomic development plans.</w:t>
      </w:r>
    </w:p>
    <w:p w:rsidR="00C51BEE" w:rsidRDefault="00C51BEE" w:rsidP="002E3425">
      <w:pPr>
        <w:spacing w:after="0"/>
        <w:jc w:val="both"/>
      </w:pPr>
    </w:p>
    <w:p w:rsidR="000F07F1" w:rsidRDefault="00466EE8" w:rsidP="002E3425">
      <w:pPr>
        <w:spacing w:after="0"/>
        <w:jc w:val="both"/>
      </w:pPr>
      <w:r>
        <w:rPr>
          <w:i/>
        </w:rPr>
        <w:t>T</w:t>
      </w:r>
      <w:r w:rsidR="00013343" w:rsidRPr="000F07F1">
        <w:rPr>
          <w:i/>
        </w:rPr>
        <w:t xml:space="preserve">echnical </w:t>
      </w:r>
      <w:r>
        <w:rPr>
          <w:i/>
        </w:rPr>
        <w:t>and Financial Support for Small Infrastructure P</w:t>
      </w:r>
      <w:r w:rsidR="00013343" w:rsidRPr="000F07F1">
        <w:rPr>
          <w:i/>
        </w:rPr>
        <w:t>rojects</w:t>
      </w:r>
      <w:r w:rsidR="0081650D">
        <w:t xml:space="preserve"> </w:t>
      </w:r>
    </w:p>
    <w:p w:rsidR="00466EE8" w:rsidRDefault="00466EE8" w:rsidP="002E3425">
      <w:pPr>
        <w:spacing w:after="0"/>
        <w:jc w:val="both"/>
        <w:rPr>
          <w:i/>
        </w:rPr>
      </w:pPr>
    </w:p>
    <w:p w:rsidR="000F07F1" w:rsidRDefault="00466EE8" w:rsidP="002E3425">
      <w:pPr>
        <w:spacing w:after="0"/>
        <w:jc w:val="both"/>
      </w:pPr>
      <w:r>
        <w:t>Basic</w:t>
      </w:r>
      <w:r w:rsidR="000F07F1">
        <w:t xml:space="preserve"> social and productive infrastructure</w:t>
      </w:r>
      <w:r>
        <w:t xml:space="preserve"> in many New Recovered Areas</w:t>
      </w:r>
      <w:r w:rsidR="000F07F1">
        <w:t xml:space="preserve"> is </w:t>
      </w:r>
      <w:r>
        <w:t>either non-existent or badly damaged. Central and local government authorities typically lack the revenues</w:t>
      </w:r>
      <w:r w:rsidR="000F07F1">
        <w:t xml:space="preserve"> to upgrade and expand basic infrastructure</w:t>
      </w:r>
      <w:r w:rsidR="00A2538B">
        <w:t xml:space="preserve"> services with the result that rehabilitation efforts to date have been </w:t>
      </w:r>
      <w:r w:rsidR="000F07F1">
        <w:t xml:space="preserve">fragmented </w:t>
      </w:r>
      <w:r w:rsidR="00A2538B">
        <w:t xml:space="preserve">and led by international agencies and donors in </w:t>
      </w:r>
      <w:r w:rsidR="000F07F1">
        <w:t xml:space="preserve">partnership with local NGOs. </w:t>
      </w:r>
      <w:r w:rsidR="00A2538B">
        <w:t xml:space="preserve">The provision of basic local infrastructure, including electricity supply, roads and irrigation systems </w:t>
      </w:r>
      <w:r w:rsidR="00DD3255">
        <w:t xml:space="preserve">will contribute significantly to future economic growth and </w:t>
      </w:r>
      <w:r w:rsidR="00A2538B">
        <w:t xml:space="preserve">has the potential to generate significant short-term employment through </w:t>
      </w:r>
      <w:r w:rsidR="00434A25">
        <w:t>‘</w:t>
      </w:r>
      <w:r w:rsidR="00A2538B">
        <w:t>Cash for Work</w:t>
      </w:r>
      <w:r w:rsidR="00434A25">
        <w:t>’</w:t>
      </w:r>
      <w:r w:rsidR="00A2538B">
        <w:t xml:space="preserve"> schemes.</w:t>
      </w:r>
    </w:p>
    <w:p w:rsidR="000F07F1" w:rsidRDefault="000F07F1" w:rsidP="002E3425">
      <w:pPr>
        <w:spacing w:after="0"/>
        <w:jc w:val="both"/>
      </w:pPr>
    </w:p>
    <w:p w:rsidR="0038077C" w:rsidRDefault="00A2538B" w:rsidP="002E3425">
      <w:pPr>
        <w:spacing w:after="0"/>
        <w:jc w:val="both"/>
      </w:pPr>
      <w:r w:rsidRPr="00A2538B">
        <w:t>Creating an inventory and assessment of the current status of basic infrastructure in the Newly Recovered Areas is a necess</w:t>
      </w:r>
      <w:r>
        <w:t>ary and important entry point for</w:t>
      </w:r>
      <w:r w:rsidRPr="00A2538B">
        <w:t xml:space="preserve"> put</w:t>
      </w:r>
      <w:r>
        <w:t>ting</w:t>
      </w:r>
      <w:r w:rsidRPr="00A2538B">
        <w:t xml:space="preserve"> in place comprehensive </w:t>
      </w:r>
      <w:r>
        <w:t xml:space="preserve">local infrastructure </w:t>
      </w:r>
      <w:r w:rsidRPr="00A2538B">
        <w:t xml:space="preserve">rehabilitation plans. Introducing appropriate rehabilitation techniques relying on local materials and provision technical support </w:t>
      </w:r>
      <w:r w:rsidR="00434A25">
        <w:t>will be an integral component</w:t>
      </w:r>
      <w:r>
        <w:t xml:space="preserve"> of these </w:t>
      </w:r>
      <w:r w:rsidRPr="00A2538B">
        <w:t>plan</w:t>
      </w:r>
      <w:r>
        <w:t>s</w:t>
      </w:r>
      <w:r w:rsidRPr="00A2538B">
        <w:t>.</w:t>
      </w:r>
      <w:r w:rsidR="00434A25">
        <w:t xml:space="preserve"> </w:t>
      </w:r>
      <w:r>
        <w:t xml:space="preserve">Whilst focusing </w:t>
      </w:r>
      <w:r w:rsidR="007A5C0D">
        <w:t xml:space="preserve">primarily </w:t>
      </w:r>
      <w:r>
        <w:t>on productive infrastructure (e.g. f</w:t>
      </w:r>
      <w:r w:rsidRPr="00A2538B">
        <w:t xml:space="preserve">eeder roads, markets, irrigation systems, agricultural land reclamation, slaughter houses, fishery facilities, </w:t>
      </w:r>
      <w:r>
        <w:t xml:space="preserve">and </w:t>
      </w:r>
      <w:r w:rsidRPr="00A2538B">
        <w:t>water c</w:t>
      </w:r>
      <w:r>
        <w:t>atchments for livestock use), the project will also address other social infrastructure and community facilities (e.g.</w:t>
      </w:r>
      <w:r w:rsidR="00434A25">
        <w:t xml:space="preserve"> water networks and waste water treatment plants, health and education facilities</w:t>
      </w:r>
      <w:r>
        <w:t xml:space="preserve">) where these are likely to contribute to peace and stability and / or generate significant short-term employment opportunities. </w:t>
      </w:r>
      <w:r w:rsidR="00434A25">
        <w:t xml:space="preserve"> Efforts will be made to pilot</w:t>
      </w:r>
      <w:r w:rsidR="000F07F1">
        <w:t xml:space="preserve"> new </w:t>
      </w:r>
      <w:r w:rsidR="00434A25">
        <w:t xml:space="preserve">and </w:t>
      </w:r>
      <w:r w:rsidR="000F07F1">
        <w:t xml:space="preserve">easy replicable ideas </w:t>
      </w:r>
      <w:r w:rsidR="00434A25">
        <w:t xml:space="preserve">(e.g. </w:t>
      </w:r>
      <w:r w:rsidR="000F07F1">
        <w:t>replacing open water irrigation canals with piping systems</w:t>
      </w:r>
      <w:r w:rsidR="00434A25">
        <w:t>)</w:t>
      </w:r>
      <w:r w:rsidR="000F07F1">
        <w:t xml:space="preserve"> </w:t>
      </w:r>
      <w:r w:rsidR="00434A25">
        <w:t xml:space="preserve">that significantly reduce </w:t>
      </w:r>
      <w:r w:rsidR="007A5C0D">
        <w:t>downstream maintenance</w:t>
      </w:r>
      <w:r w:rsidR="000F07F1">
        <w:t xml:space="preserve"> cost</w:t>
      </w:r>
      <w:r w:rsidR="00434A25">
        <w:t>s</w:t>
      </w:r>
      <w:r w:rsidR="000F07F1">
        <w:t xml:space="preserve"> and </w:t>
      </w:r>
      <w:r w:rsidR="00434A25">
        <w:t xml:space="preserve">offer </w:t>
      </w:r>
      <w:r w:rsidR="000F07F1">
        <w:t xml:space="preserve">more sustainable </w:t>
      </w:r>
      <w:r w:rsidR="00434A25">
        <w:t xml:space="preserve">and enduring </w:t>
      </w:r>
      <w:r w:rsidR="000F07F1">
        <w:t>solution</w:t>
      </w:r>
      <w:r w:rsidR="00434A25">
        <w:t xml:space="preserve">s. </w:t>
      </w:r>
    </w:p>
    <w:p w:rsidR="000F07F1" w:rsidRDefault="000F07F1" w:rsidP="002E3425">
      <w:pPr>
        <w:spacing w:after="0"/>
        <w:jc w:val="both"/>
      </w:pPr>
    </w:p>
    <w:p w:rsidR="00200DBB" w:rsidRPr="00523510" w:rsidRDefault="004A6A2C" w:rsidP="002E3425">
      <w:pPr>
        <w:spacing w:after="0"/>
        <w:jc w:val="both"/>
      </w:pPr>
      <w:r w:rsidRPr="0038077C">
        <w:rPr>
          <w:i/>
        </w:rPr>
        <w:t>Busine</w:t>
      </w:r>
      <w:r w:rsidR="000F07F1">
        <w:rPr>
          <w:i/>
        </w:rPr>
        <w:t>ss Environment Reform</w:t>
      </w:r>
      <w:r w:rsidR="001303C7">
        <w:rPr>
          <w:i/>
        </w:rPr>
        <w:t>s</w:t>
      </w:r>
    </w:p>
    <w:p w:rsidR="0038077C" w:rsidRPr="0038077C" w:rsidRDefault="0038077C" w:rsidP="002E3425">
      <w:pPr>
        <w:spacing w:after="0"/>
        <w:jc w:val="both"/>
        <w:rPr>
          <w:i/>
        </w:rPr>
      </w:pPr>
    </w:p>
    <w:p w:rsidR="0038077C" w:rsidRDefault="00434A25" w:rsidP="002E3425">
      <w:pPr>
        <w:spacing w:after="0"/>
        <w:jc w:val="both"/>
      </w:pPr>
      <w:bookmarkStart w:id="1" w:name="OLE_LINK1"/>
      <w:bookmarkStart w:id="2" w:name="OLE_LINK2"/>
      <w:r>
        <w:t xml:space="preserve">Contrary to the oft-cited view that Somalia has a vibrant and competitive private enterprise sector, the harsh reality is that most local economies are </w:t>
      </w:r>
      <w:r w:rsidR="00E937C7">
        <w:t>dominated by a small number of large companies</w:t>
      </w:r>
      <w:r w:rsidR="0058604E">
        <w:t xml:space="preserve"> (often controlled by ruling elites)</w:t>
      </w:r>
      <w:r w:rsidR="00E937C7">
        <w:t>, with a</w:t>
      </w:r>
      <w:r w:rsidR="0058604E">
        <w:t xml:space="preserve"> large residual informal sector</w:t>
      </w:r>
      <w:r w:rsidR="00E937C7">
        <w:t xml:space="preserve"> consisting for the most part of subsistence micro-enterprises. Whilst some of the achievements of private enterprise are impressive, for example in relation to</w:t>
      </w:r>
      <w:r w:rsidR="00523510">
        <w:t xml:space="preserve"> ‘plugging gaps’</w:t>
      </w:r>
      <w:r w:rsidR="00E937C7">
        <w:t xml:space="preserve"> </w:t>
      </w:r>
      <w:r w:rsidR="00523510">
        <w:t xml:space="preserve">in </w:t>
      </w:r>
      <w:r>
        <w:t xml:space="preserve">essential </w:t>
      </w:r>
      <w:r w:rsidR="00523510">
        <w:t xml:space="preserve">public </w:t>
      </w:r>
      <w:r>
        <w:t>services</w:t>
      </w:r>
      <w:r w:rsidR="00E937C7">
        <w:t xml:space="preserve">, the sector as a whole has manifestly failed to provide employment opportunities and affordable goods and services for the majority of the population. These problems are </w:t>
      </w:r>
      <w:r w:rsidR="00CB41D8">
        <w:t>due in part to the absence of legal and regulatory frameworks in Somalia to reduce the costs of doing business and create certainty and security for investors</w:t>
      </w:r>
      <w:r w:rsidR="00523510">
        <w:t>, including the Somali diaspora.</w:t>
      </w:r>
    </w:p>
    <w:p w:rsidR="00CB41D8" w:rsidRDefault="00CB41D8" w:rsidP="002E3425">
      <w:pPr>
        <w:spacing w:after="0"/>
        <w:jc w:val="both"/>
      </w:pPr>
    </w:p>
    <w:p w:rsidR="00CB41D8" w:rsidRDefault="00CB41D8" w:rsidP="002E3425">
      <w:pPr>
        <w:spacing w:after="0"/>
        <w:jc w:val="both"/>
      </w:pPr>
      <w:r>
        <w:t xml:space="preserve">Working closely with the relevant FGS line ministries, local authorities, local business representative </w:t>
      </w:r>
      <w:proofErr w:type="spellStart"/>
      <w:r>
        <w:t>organisations</w:t>
      </w:r>
      <w:proofErr w:type="spellEnd"/>
      <w:r>
        <w:t xml:space="preserve"> (e.g. Chambers of Commerce) and individual private sector companies, the project will </w:t>
      </w:r>
      <w:r>
        <w:lastRenderedPageBreak/>
        <w:t>identify and address legal and regulatory bottlenecks</w:t>
      </w:r>
      <w:r w:rsidR="00523510">
        <w:t xml:space="preserve"> to doing business</w:t>
      </w:r>
      <w:r>
        <w:t xml:space="preserve">, emphasizing in particular the needs of small and medium sized enterprises that have the potential to generate new employment opportunities. </w:t>
      </w:r>
      <w:r w:rsidR="0058604E">
        <w:t>On the basis of work undertaken through</w:t>
      </w:r>
      <w:r>
        <w:t xml:space="preserve"> the UNDP ABER and EGER projects </w:t>
      </w:r>
      <w:r w:rsidR="0058604E">
        <w:t>key business environment reform issues</w:t>
      </w:r>
      <w:r>
        <w:t xml:space="preserve"> are likely to in</w:t>
      </w:r>
      <w:r w:rsidR="00523510">
        <w:t xml:space="preserve">clude land ownership, business </w:t>
      </w:r>
      <w:r w:rsidR="002630DC">
        <w:t>registration</w:t>
      </w:r>
      <w:r>
        <w:t>, licensing and permitting requirements,</w:t>
      </w:r>
      <w:r w:rsidR="0058604E">
        <w:t xml:space="preserve"> the establishment </w:t>
      </w:r>
      <w:r w:rsidR="004F5559">
        <w:t>intra-enterprise dispute resolution</w:t>
      </w:r>
      <w:r w:rsidR="00585878">
        <w:t xml:space="preserve"> mechanisms</w:t>
      </w:r>
      <w:r w:rsidR="004F5559">
        <w:t xml:space="preserve"> and </w:t>
      </w:r>
      <w:r w:rsidR="00523510">
        <w:t xml:space="preserve">policies to promote and protect </w:t>
      </w:r>
      <w:r w:rsidR="0058604E">
        <w:t xml:space="preserve">fair and open </w:t>
      </w:r>
      <w:r w:rsidR="00523510">
        <w:t>competition.</w:t>
      </w:r>
    </w:p>
    <w:p w:rsidR="00E937C7" w:rsidRDefault="00E937C7" w:rsidP="002E3425">
      <w:pPr>
        <w:spacing w:after="0"/>
        <w:jc w:val="both"/>
      </w:pPr>
    </w:p>
    <w:bookmarkEnd w:id="1"/>
    <w:bookmarkEnd w:id="2"/>
    <w:p w:rsidR="002B6622" w:rsidRDefault="004A6A2C" w:rsidP="002E3425">
      <w:pPr>
        <w:spacing w:after="0"/>
        <w:jc w:val="both"/>
        <w:rPr>
          <w:i/>
        </w:rPr>
      </w:pPr>
      <w:r w:rsidRPr="002E3425">
        <w:rPr>
          <w:i/>
        </w:rPr>
        <w:t>Business Development Services</w:t>
      </w:r>
      <w:r w:rsidR="00C47F2C" w:rsidRPr="002E3425">
        <w:rPr>
          <w:i/>
        </w:rPr>
        <w:t xml:space="preserve"> </w:t>
      </w:r>
      <w:r w:rsidR="00B627B7">
        <w:rPr>
          <w:i/>
        </w:rPr>
        <w:t>(BDS)</w:t>
      </w:r>
      <w:r w:rsidR="00AC7578">
        <w:rPr>
          <w:i/>
        </w:rPr>
        <w:t xml:space="preserve"> / One Stop Shops</w:t>
      </w:r>
    </w:p>
    <w:p w:rsidR="00B136A2" w:rsidRPr="002E3425" w:rsidRDefault="00B136A2" w:rsidP="002E3425">
      <w:pPr>
        <w:spacing w:after="0"/>
        <w:jc w:val="both"/>
        <w:rPr>
          <w:i/>
        </w:rPr>
      </w:pPr>
    </w:p>
    <w:p w:rsidR="002B6622" w:rsidRPr="00674776" w:rsidRDefault="002630DC" w:rsidP="002E3425">
      <w:pPr>
        <w:spacing w:after="0"/>
        <w:jc w:val="both"/>
      </w:pPr>
      <w:r w:rsidRPr="00674776">
        <w:t>Entrepreneurshi</w:t>
      </w:r>
      <w:r w:rsidR="00B627B7">
        <w:t>p s</w:t>
      </w:r>
      <w:r w:rsidRPr="00674776">
        <w:t>kills and knowledge of basic business planning and</w:t>
      </w:r>
      <w:r w:rsidR="00674776">
        <w:t xml:space="preserve"> management techniques are</w:t>
      </w:r>
      <w:r w:rsidRPr="00674776">
        <w:t xml:space="preserve"> understandably limited in </w:t>
      </w:r>
      <w:r w:rsidR="00674776">
        <w:t xml:space="preserve">South and Central </w:t>
      </w:r>
      <w:r w:rsidRPr="00674776">
        <w:t xml:space="preserve">Somalia, </w:t>
      </w:r>
      <w:r w:rsidR="00674776" w:rsidRPr="00674776">
        <w:t xml:space="preserve">with the result that the majority of micro-enterprises </w:t>
      </w:r>
      <w:r w:rsidR="00674776">
        <w:t xml:space="preserve">continue to operate on a subsistence basis in the informal sector. This is </w:t>
      </w:r>
      <w:r w:rsidR="00ED3AF7">
        <w:t xml:space="preserve">in </w:t>
      </w:r>
      <w:r w:rsidR="00674776">
        <w:t>turn severely restricts their access to formal sources of credit for investment and their potential for sustainable income generation and job creation.</w:t>
      </w:r>
    </w:p>
    <w:p w:rsidR="002B6622" w:rsidRDefault="002B6622" w:rsidP="002E3425">
      <w:pPr>
        <w:spacing w:after="0"/>
        <w:jc w:val="both"/>
      </w:pPr>
    </w:p>
    <w:p w:rsidR="00B627B7" w:rsidRDefault="00674776" w:rsidP="002E3425">
      <w:pPr>
        <w:spacing w:after="0"/>
        <w:jc w:val="both"/>
      </w:pPr>
      <w:r w:rsidRPr="00674776">
        <w:t xml:space="preserve">The project will address these problems through measures to increase </w:t>
      </w:r>
      <w:r w:rsidR="002B6622" w:rsidRPr="00674776">
        <w:t xml:space="preserve">the provision of business </w:t>
      </w:r>
      <w:r>
        <w:t>advisory</w:t>
      </w:r>
      <w:r w:rsidR="002B6622" w:rsidRPr="00674776">
        <w:t xml:space="preserve"> services to </w:t>
      </w:r>
      <w:r w:rsidR="00AC7578">
        <w:t>start-ups</w:t>
      </w:r>
      <w:r w:rsidR="002B6622" w:rsidRPr="00674776">
        <w:t xml:space="preserve"> as well as </w:t>
      </w:r>
      <w:r w:rsidR="00AC7578">
        <w:t>existing micro- small and medium sized enterprises</w:t>
      </w:r>
      <w:r w:rsidR="002B6622" w:rsidRPr="00674776">
        <w:t xml:space="preserve">. </w:t>
      </w:r>
      <w:proofErr w:type="gramStart"/>
      <w:r>
        <w:t xml:space="preserve">Based on previous UNDP experience in Somaliland and </w:t>
      </w:r>
      <w:proofErr w:type="spellStart"/>
      <w:r>
        <w:t>Puntland</w:t>
      </w:r>
      <w:proofErr w:type="spellEnd"/>
      <w:r>
        <w:t xml:space="preserve">, </w:t>
      </w:r>
      <w:r w:rsidR="00B627B7">
        <w:t xml:space="preserve">‘one stop shops’ </w:t>
      </w:r>
      <w:r>
        <w:t xml:space="preserve">will be integrated into relevant civil or public institutions, including Chambers of Commerce and Higher Education </w:t>
      </w:r>
      <w:r w:rsidR="00B627B7">
        <w:t>Institutions with appropriate capacity</w:t>
      </w:r>
      <w:r w:rsidR="002B6622">
        <w:t>.</w:t>
      </w:r>
      <w:proofErr w:type="gramEnd"/>
      <w:r w:rsidR="002B6622">
        <w:t xml:space="preserve"> </w:t>
      </w:r>
      <w:r w:rsidR="00B627B7">
        <w:t>One stop s</w:t>
      </w:r>
      <w:r w:rsidR="002B6622">
        <w:t>hop</w:t>
      </w:r>
      <w:r w:rsidR="00B627B7">
        <w:t xml:space="preserve">s will offer a range of services including basic entrepreneurship training, business planning and marketing, as well as </w:t>
      </w:r>
      <w:r w:rsidR="002B6622">
        <w:t>conducting periodic job fairs to help academic and v</w:t>
      </w:r>
      <w:r w:rsidR="00B627B7">
        <w:t>ocational institution graduates to acquire work placements, internships</w:t>
      </w:r>
      <w:r w:rsidR="00ED3AF7">
        <w:t xml:space="preserve">, </w:t>
      </w:r>
      <w:r w:rsidR="00B627B7">
        <w:t>apprenticeships and jobs. Following establishment, funding support for ‘embedded’ BDS suppliers will be based on performance / delivery related subsidies and geared down over the project period, to encourage financial self-sustainability.</w:t>
      </w:r>
    </w:p>
    <w:p w:rsidR="00B627B7" w:rsidRDefault="00B627B7" w:rsidP="002E3425">
      <w:pPr>
        <w:spacing w:after="0"/>
        <w:jc w:val="both"/>
      </w:pPr>
    </w:p>
    <w:p w:rsidR="00C47F2C" w:rsidRPr="0038077C" w:rsidRDefault="00B136A2" w:rsidP="002E3425">
      <w:pPr>
        <w:spacing w:after="0"/>
        <w:jc w:val="both"/>
        <w:rPr>
          <w:i/>
        </w:rPr>
      </w:pPr>
      <w:r>
        <w:rPr>
          <w:i/>
        </w:rPr>
        <w:t>Support for Cooperatives</w:t>
      </w:r>
      <w:r w:rsidR="00C47F2C" w:rsidRPr="0038077C">
        <w:rPr>
          <w:i/>
        </w:rPr>
        <w:t xml:space="preserve"> a</w:t>
      </w:r>
      <w:r w:rsidR="0058604E">
        <w:rPr>
          <w:i/>
        </w:rPr>
        <w:t>nd Social Enterprises</w:t>
      </w:r>
    </w:p>
    <w:p w:rsidR="0038077C" w:rsidRDefault="0038077C" w:rsidP="002E3425">
      <w:pPr>
        <w:spacing w:after="0"/>
        <w:jc w:val="both"/>
      </w:pPr>
    </w:p>
    <w:p w:rsidR="0038077C" w:rsidRPr="0038077C" w:rsidRDefault="0038077C" w:rsidP="002E3425">
      <w:pPr>
        <w:spacing w:after="0"/>
        <w:jc w:val="both"/>
      </w:pPr>
      <w:r>
        <w:t xml:space="preserve">Through the formulation of the </w:t>
      </w:r>
      <w:r w:rsidR="00DD3255">
        <w:t xml:space="preserve">‘Economic Foundations’ component of the new Deal and the Somalia </w:t>
      </w:r>
      <w:r>
        <w:t>Economic Recovery Plan, the FGS has underlined the importance it places on the development of a thriving cooperative</w:t>
      </w:r>
      <w:r w:rsidR="0096161F">
        <w:t xml:space="preserve"> enterprise</w:t>
      </w:r>
      <w:r>
        <w:t xml:space="preserve"> secto</w:t>
      </w:r>
      <w:r w:rsidR="0096161F">
        <w:t>r based on modern principles of joint ownership, profit sharing and democratic member cont</w:t>
      </w:r>
      <w:r w:rsidR="005330EF">
        <w:t xml:space="preserve">rol. At the same time there is </w:t>
      </w:r>
      <w:proofErr w:type="gramStart"/>
      <w:r w:rsidR="00632ADA">
        <w:t xml:space="preserve">enormous </w:t>
      </w:r>
      <w:r w:rsidR="0058604E">
        <w:t xml:space="preserve"> potential</w:t>
      </w:r>
      <w:proofErr w:type="gramEnd"/>
      <w:r w:rsidR="0058604E">
        <w:t xml:space="preserve"> - in the Newly Recovered Areas as</w:t>
      </w:r>
      <w:r w:rsidR="0096161F">
        <w:t xml:space="preserve"> elsewhere in Somalia - to develop a social enterprise sector, creating s</w:t>
      </w:r>
      <w:r w:rsidR="00632ADA">
        <w:t>ecure employment and livelihoods opportunities</w:t>
      </w:r>
      <w:r w:rsidR="0096161F">
        <w:t xml:space="preserve"> to special needs groups including ex-combatants and IDPs.</w:t>
      </w:r>
    </w:p>
    <w:p w:rsidR="0038077C" w:rsidRPr="0038077C" w:rsidRDefault="0038077C" w:rsidP="002E3425">
      <w:pPr>
        <w:spacing w:after="0"/>
        <w:jc w:val="both"/>
        <w:rPr>
          <w:i/>
        </w:rPr>
      </w:pPr>
    </w:p>
    <w:p w:rsidR="0038077C" w:rsidRPr="00632ADA" w:rsidRDefault="0096161F" w:rsidP="002E3425">
      <w:pPr>
        <w:spacing w:after="0"/>
        <w:jc w:val="both"/>
      </w:pPr>
      <w:r w:rsidRPr="00632ADA">
        <w:t xml:space="preserve">The project will work closely at national and local levels with key stakeholders including the </w:t>
      </w:r>
      <w:r w:rsidR="00632ADA" w:rsidRPr="00632ADA">
        <w:t xml:space="preserve">recently formed </w:t>
      </w:r>
      <w:r w:rsidRPr="00632ADA">
        <w:t xml:space="preserve">National Union of Cooperatives, </w:t>
      </w:r>
      <w:r w:rsidR="00632ADA" w:rsidRPr="00632ADA">
        <w:t xml:space="preserve">to identify and address legal, regulatory and policy constraints to the development of cooperatives and social enterprises. Working wherever possible through existing </w:t>
      </w:r>
      <w:r w:rsidR="005330EF">
        <w:t>BDS</w:t>
      </w:r>
      <w:r w:rsidR="00632ADA" w:rsidRPr="00632ADA">
        <w:t xml:space="preserve"> providers (see above), a campaign will be launched to raise awareness of modern International Cooperative Association (ICA) principles and the achievements of international cooperatives, particularly in relation to sectors strongly represented in the economies of the Newly Recovered Areas. Technical and financial signposting support will be provided to cooperatives </w:t>
      </w:r>
      <w:r w:rsidR="003C149E">
        <w:t>and social enterprise</w:t>
      </w:r>
      <w:r w:rsidR="00632ADA" w:rsidRPr="00632ADA">
        <w:t xml:space="preserve"> start-ups.</w:t>
      </w:r>
    </w:p>
    <w:p w:rsidR="0038077C" w:rsidRPr="00632ADA" w:rsidRDefault="0038077C" w:rsidP="002E3425">
      <w:pPr>
        <w:spacing w:after="0"/>
        <w:jc w:val="both"/>
      </w:pPr>
    </w:p>
    <w:p w:rsidR="00013343" w:rsidRPr="00E13667" w:rsidRDefault="00E13667" w:rsidP="002E3425">
      <w:pPr>
        <w:spacing w:after="0"/>
        <w:jc w:val="both"/>
        <w:rPr>
          <w:i/>
        </w:rPr>
      </w:pPr>
      <w:r w:rsidRPr="00E13667">
        <w:rPr>
          <w:i/>
        </w:rPr>
        <w:t>Local Financial S</w:t>
      </w:r>
      <w:r w:rsidR="00013343" w:rsidRPr="00E13667">
        <w:rPr>
          <w:i/>
        </w:rPr>
        <w:t>ervices</w:t>
      </w:r>
      <w:r w:rsidR="00200DBB" w:rsidRPr="00E13667">
        <w:rPr>
          <w:i/>
        </w:rPr>
        <w:t xml:space="preserve"> </w:t>
      </w:r>
    </w:p>
    <w:p w:rsidR="003E35DF" w:rsidRDefault="003E35DF" w:rsidP="002E3425">
      <w:pPr>
        <w:spacing w:after="0"/>
        <w:jc w:val="both"/>
      </w:pPr>
    </w:p>
    <w:p w:rsidR="003E35DF" w:rsidRDefault="00734C8A" w:rsidP="002E3425">
      <w:pPr>
        <w:spacing w:after="0"/>
        <w:jc w:val="both"/>
      </w:pPr>
      <w:r>
        <w:t>The current practice of formal business lending in Central and South Somalia</w:t>
      </w:r>
      <w:r w:rsidR="003E35DF">
        <w:t xml:space="preserve"> </w:t>
      </w:r>
      <w:r w:rsidR="0058604E">
        <w:t>is for the most part</w:t>
      </w:r>
      <w:r w:rsidR="003E35DF">
        <w:t xml:space="preserve"> limited to practices of NGOs and CBOs </w:t>
      </w:r>
      <w:r w:rsidR="0058604E">
        <w:t>providing</w:t>
      </w:r>
      <w:r w:rsidR="003E35DF">
        <w:t xml:space="preserve"> micro-loans on a small scale either to groups or individual</w:t>
      </w:r>
      <w:r w:rsidR="0058604E">
        <w:t>s. There is no institutional</w:t>
      </w:r>
      <w:r w:rsidR="003E35DF">
        <w:t xml:space="preserve"> structure govern</w:t>
      </w:r>
      <w:r w:rsidR="0058604E">
        <w:t>ing</w:t>
      </w:r>
      <w:r w:rsidR="003E35DF">
        <w:t xml:space="preserve"> operations relating to local finance, especially in the absence of banking laws, lending polici</w:t>
      </w:r>
      <w:r w:rsidR="0058604E">
        <w:t xml:space="preserve">es and regulatory structures.  </w:t>
      </w:r>
      <w:r>
        <w:t>In general, t</w:t>
      </w:r>
      <w:r w:rsidR="003E35DF">
        <w:t xml:space="preserve">he </w:t>
      </w:r>
      <w:r w:rsidR="0058604E">
        <w:t>achievement</w:t>
      </w:r>
      <w:r w:rsidR="00600A96">
        <w:t>s</w:t>
      </w:r>
      <w:r w:rsidR="0058604E">
        <w:t xml:space="preserve"> </w:t>
      </w:r>
      <w:r w:rsidR="003E35DF">
        <w:t xml:space="preserve">of </w:t>
      </w:r>
      <w:r w:rsidR="00600A96">
        <w:t>NGO micro-</w:t>
      </w:r>
      <w:r w:rsidR="0058604E">
        <w:t>lending projects have</w:t>
      </w:r>
      <w:r w:rsidR="003E35DF">
        <w:t xml:space="preserve"> been modest, </w:t>
      </w:r>
      <w:r w:rsidR="0058604E">
        <w:t>in terms of both outreach (beneficiaries covered) and impact</w:t>
      </w:r>
      <w:r w:rsidR="003E35DF">
        <w:t xml:space="preserve">. Moreover, the high transaction costs </w:t>
      </w:r>
      <w:r w:rsidR="0058604E">
        <w:t>and small portfolio sizes associated with</w:t>
      </w:r>
      <w:r w:rsidR="003E35DF">
        <w:t xml:space="preserve"> these operations have made it difficult for the NGOs to</w:t>
      </w:r>
      <w:r w:rsidR="005330EF">
        <w:t xml:space="preserve"> attain the margins necessary to</w:t>
      </w:r>
      <w:r w:rsidR="003E35DF">
        <w:t xml:space="preserve"> </w:t>
      </w:r>
      <w:r w:rsidR="00600A96">
        <w:t xml:space="preserve">sustain </w:t>
      </w:r>
      <w:r w:rsidR="0058604E">
        <w:t>or expand lending activities</w:t>
      </w:r>
      <w:r w:rsidR="003E35DF">
        <w:t>.</w:t>
      </w:r>
    </w:p>
    <w:p w:rsidR="003E35DF" w:rsidRDefault="003E35DF" w:rsidP="002E3425">
      <w:pPr>
        <w:spacing w:after="0"/>
        <w:jc w:val="both"/>
      </w:pPr>
    </w:p>
    <w:p w:rsidR="00600A96" w:rsidRDefault="0058604E" w:rsidP="002E3425">
      <w:pPr>
        <w:spacing w:after="0"/>
        <w:jc w:val="both"/>
      </w:pPr>
      <w:r w:rsidRPr="0058604E">
        <w:t>The</w:t>
      </w:r>
      <w:r w:rsidR="00734C8A">
        <w:t xml:space="preserve"> project will</w:t>
      </w:r>
      <w:r w:rsidR="003E35DF">
        <w:t xml:space="preserve"> establish agreements with formal remittance companies allowing them to dispense micro-loans to economically active poor women and men in the five target areas of South and Central Somalia. The Pilot Program will build the capacity of </w:t>
      </w:r>
      <w:r>
        <w:t>the potential remittance companies</w:t>
      </w:r>
      <w:r w:rsidR="003E35DF">
        <w:t xml:space="preserve"> (such as</w:t>
      </w:r>
      <w:r w:rsidR="00600A96">
        <w:t xml:space="preserve"> </w:t>
      </w:r>
      <w:proofErr w:type="spellStart"/>
      <w:r w:rsidR="00600A96">
        <w:t>Dahbshiil</w:t>
      </w:r>
      <w:proofErr w:type="spellEnd"/>
      <w:r w:rsidR="00600A96">
        <w:t xml:space="preserve">, </w:t>
      </w:r>
      <w:proofErr w:type="spellStart"/>
      <w:r w:rsidR="00600A96">
        <w:t>Amal</w:t>
      </w:r>
      <w:proofErr w:type="spellEnd"/>
      <w:r w:rsidR="00600A96">
        <w:t xml:space="preserve"> Bank and </w:t>
      </w:r>
      <w:r w:rsidR="003E35DF">
        <w:t xml:space="preserve">Salam Bank) to provide loans to the target groups in some or all of the target areas. </w:t>
      </w:r>
      <w:r>
        <w:t xml:space="preserve">The project </w:t>
      </w:r>
      <w:r w:rsidR="003E35DF">
        <w:t>will also encourage partner institution</w:t>
      </w:r>
      <w:r>
        <w:t>s</w:t>
      </w:r>
      <w:r w:rsidR="003E35DF">
        <w:t xml:space="preserve"> to </w:t>
      </w:r>
      <w:r>
        <w:t>extend other financial services</w:t>
      </w:r>
      <w:r w:rsidR="003E35DF">
        <w:t xml:space="preserve"> (</w:t>
      </w:r>
      <w:r>
        <w:t>e.g.</w:t>
      </w:r>
      <w:r w:rsidR="003E35DF">
        <w:t xml:space="preserve"> savings accounts, remittances, direct payments and mobile transfers) to </w:t>
      </w:r>
      <w:r>
        <w:t>target beneficia</w:t>
      </w:r>
      <w:r w:rsidR="00600A96">
        <w:t xml:space="preserve">ries, making use of existing branch networks and staff capabilities to reduce overheads and ensure sustainability. It is envisaged that participating institutions will provide matching capital </w:t>
      </w:r>
      <w:r w:rsidR="00DD3255">
        <w:t>for project funds.</w:t>
      </w:r>
    </w:p>
    <w:p w:rsidR="00DD3255" w:rsidRDefault="00DD3255" w:rsidP="002E3425">
      <w:pPr>
        <w:spacing w:after="0"/>
        <w:jc w:val="both"/>
      </w:pPr>
    </w:p>
    <w:p w:rsidR="00013343" w:rsidRDefault="001303C7" w:rsidP="002E3425">
      <w:pPr>
        <w:spacing w:after="0"/>
        <w:jc w:val="both"/>
      </w:pPr>
      <w:r>
        <w:rPr>
          <w:i/>
        </w:rPr>
        <w:t>Value Chain Development Interventions</w:t>
      </w:r>
      <w:r w:rsidR="00E13667">
        <w:rPr>
          <w:i/>
        </w:rPr>
        <w:t xml:space="preserve"> </w:t>
      </w:r>
    </w:p>
    <w:p w:rsidR="00E13667" w:rsidRDefault="00E13667" w:rsidP="002E3425">
      <w:pPr>
        <w:spacing w:after="0"/>
        <w:jc w:val="both"/>
      </w:pPr>
    </w:p>
    <w:p w:rsidR="00E13667" w:rsidRDefault="00E13667" w:rsidP="002E3425">
      <w:pPr>
        <w:spacing w:after="0"/>
        <w:jc w:val="both"/>
      </w:pPr>
      <w:r>
        <w:t>Growth potential sectors such as tho</w:t>
      </w:r>
      <w:r w:rsidR="003D764C">
        <w:t xml:space="preserve">se related </w:t>
      </w:r>
      <w:r w:rsidR="00DD3255">
        <w:t>to</w:t>
      </w:r>
      <w:r w:rsidR="003D764C">
        <w:t xml:space="preserve"> food security (livestock, milk and f</w:t>
      </w:r>
      <w:r>
        <w:t xml:space="preserve">isheries) have a high potential for addressing recurrent food shortages as well </w:t>
      </w:r>
      <w:r w:rsidR="00F4660B">
        <w:t>as stimulating local economies</w:t>
      </w:r>
      <w:r>
        <w:t xml:space="preserve"> leadi</w:t>
      </w:r>
      <w:r w:rsidR="003D764C">
        <w:t>ng to job creation and increased</w:t>
      </w:r>
      <w:r>
        <w:t xml:space="preserve"> household income</w:t>
      </w:r>
      <w:r w:rsidR="003D764C">
        <w:t>s.  Whilst</w:t>
      </w:r>
      <w:r>
        <w:t xml:space="preserve"> there has been a tendency f</w:t>
      </w:r>
      <w:r w:rsidR="003D764C">
        <w:t>or a wider shift to the service sector because of low skill</w:t>
      </w:r>
      <w:r>
        <w:t xml:space="preserve"> and capital requirements, there is </w:t>
      </w:r>
      <w:r w:rsidR="003D764C">
        <w:t xml:space="preserve">a </w:t>
      </w:r>
      <w:r>
        <w:t xml:space="preserve">clear need to </w:t>
      </w:r>
      <w:r w:rsidR="003D764C">
        <w:t>maintain a</w:t>
      </w:r>
      <w:r>
        <w:t xml:space="preserve"> focus </w:t>
      </w:r>
      <w:r w:rsidR="003D764C">
        <w:t>on</w:t>
      </w:r>
      <w:r>
        <w:t xml:space="preserve"> </w:t>
      </w:r>
      <w:r w:rsidR="003D764C">
        <w:t>these and other sectors that have the potential for significant productivity gains and employment growth.</w:t>
      </w:r>
      <w:r>
        <w:t xml:space="preserve"> </w:t>
      </w:r>
    </w:p>
    <w:p w:rsidR="00E13667" w:rsidRDefault="00E13667" w:rsidP="002E3425">
      <w:pPr>
        <w:spacing w:after="0"/>
        <w:jc w:val="both"/>
      </w:pPr>
    </w:p>
    <w:p w:rsidR="00E13667" w:rsidRDefault="003D764C" w:rsidP="00F4660B">
      <w:pPr>
        <w:spacing w:after="0"/>
        <w:jc w:val="both"/>
      </w:pPr>
      <w:r>
        <w:t>Starting with</w:t>
      </w:r>
      <w:r w:rsidR="00734C8A">
        <w:t xml:space="preserve"> sectors where </w:t>
      </w:r>
      <w:r w:rsidR="00E13667">
        <w:t xml:space="preserve">comprehensive </w:t>
      </w:r>
      <w:r w:rsidR="00734C8A">
        <w:t>value chain analyses (</w:t>
      </w:r>
      <w:r w:rsidR="00E13667">
        <w:t>VCA</w:t>
      </w:r>
      <w:r w:rsidR="00734C8A">
        <w:t>s) have</w:t>
      </w:r>
      <w:r>
        <w:t xml:space="preserve"> already</w:t>
      </w:r>
      <w:r w:rsidR="00E13667">
        <w:t xml:space="preserve"> been condu</w:t>
      </w:r>
      <w:r>
        <w:t xml:space="preserve">cted, the project will </w:t>
      </w:r>
      <w:r w:rsidR="00F4660B">
        <w:t>convene</w:t>
      </w:r>
      <w:r>
        <w:t xml:space="preserve"> discussions with government, private s</w:t>
      </w:r>
      <w:r w:rsidR="00E13667">
        <w:t xml:space="preserve">ector and other </w:t>
      </w:r>
      <w:r>
        <w:t xml:space="preserve">value chain stakeholders to </w:t>
      </w:r>
      <w:r w:rsidR="00F4660B">
        <w:t xml:space="preserve">formulate </w:t>
      </w:r>
      <w:r>
        <w:t>strategies</w:t>
      </w:r>
      <w:r w:rsidR="00E13667">
        <w:t xml:space="preserve"> </w:t>
      </w:r>
      <w:r>
        <w:t>that address binding constraints</w:t>
      </w:r>
      <w:r w:rsidR="00E13667">
        <w:t xml:space="preserve">.  </w:t>
      </w:r>
      <w:r w:rsidR="00F4660B">
        <w:t xml:space="preserve">Based on the outcomes of this process, the project will provide targeted support to selected value chains interventions, with a view to unlocking growth potential and increasing the value accruing to </w:t>
      </w:r>
      <w:r w:rsidR="005330EF">
        <w:t xml:space="preserve">primary </w:t>
      </w:r>
      <w:r w:rsidR="00F4660B">
        <w:t>producers located in the project areas.</w:t>
      </w:r>
    </w:p>
    <w:p w:rsidR="00E13667" w:rsidRDefault="00E13667" w:rsidP="002E3425">
      <w:pPr>
        <w:spacing w:after="0"/>
        <w:jc w:val="both"/>
      </w:pPr>
    </w:p>
    <w:p w:rsidR="00E13667" w:rsidRDefault="00E13667" w:rsidP="002E3425">
      <w:pPr>
        <w:spacing w:after="0"/>
        <w:jc w:val="both"/>
      </w:pPr>
      <w:r w:rsidRPr="00E13667">
        <w:rPr>
          <w:i/>
        </w:rPr>
        <w:t xml:space="preserve">Active </w:t>
      </w:r>
      <w:proofErr w:type="spellStart"/>
      <w:r w:rsidRPr="00E13667">
        <w:rPr>
          <w:i/>
        </w:rPr>
        <w:t>Labour</w:t>
      </w:r>
      <w:proofErr w:type="spellEnd"/>
      <w:r w:rsidRPr="00E13667">
        <w:rPr>
          <w:i/>
        </w:rPr>
        <w:t xml:space="preserve"> Market Policies</w:t>
      </w:r>
      <w:r w:rsidR="00F4660B">
        <w:t xml:space="preserve"> </w:t>
      </w:r>
    </w:p>
    <w:p w:rsidR="00523510" w:rsidRDefault="00523510" w:rsidP="002E3425">
      <w:pPr>
        <w:spacing w:after="0"/>
        <w:jc w:val="both"/>
      </w:pPr>
    </w:p>
    <w:p w:rsidR="003A6767" w:rsidRDefault="00F4660B" w:rsidP="002E3425">
      <w:pPr>
        <w:spacing w:after="0"/>
        <w:jc w:val="both"/>
      </w:pPr>
      <w:r w:rsidRPr="00F4660B">
        <w:t>A</w:t>
      </w:r>
      <w:r w:rsidR="003A6767" w:rsidRPr="00F4660B">
        <w:t xml:space="preserve">ccording </w:t>
      </w:r>
      <w:r w:rsidR="003A6767">
        <w:t xml:space="preserve">to the </w:t>
      </w:r>
      <w:r>
        <w:t xml:space="preserve">UNDP </w:t>
      </w:r>
      <w:r w:rsidR="003A6767">
        <w:t>Human Development Report (2012)</w:t>
      </w:r>
      <w:proofErr w:type="gramStart"/>
      <w:r>
        <w:t xml:space="preserve">, </w:t>
      </w:r>
      <w:r w:rsidR="003A6767">
        <w:t xml:space="preserve"> unemployment</w:t>
      </w:r>
      <w:proofErr w:type="gramEnd"/>
      <w:r w:rsidR="003A6767">
        <w:t xml:space="preserve"> among people aged 15 to 64</w:t>
      </w:r>
      <w:r w:rsidR="007A5C0D">
        <w:t xml:space="preserve"> is estimated at 54 percent (74 percent</w:t>
      </w:r>
      <w:r w:rsidR="003A6767">
        <w:t xml:space="preserve"> women) in Somalia, up from </w:t>
      </w:r>
      <w:r w:rsidR="007A5C0D">
        <w:t>47 percent in 2002. Moreover 70 percent</w:t>
      </w:r>
      <w:r w:rsidR="003A6767">
        <w:t xml:space="preserve"> of Somalia’s population </w:t>
      </w:r>
      <w:r>
        <w:t xml:space="preserve">is </w:t>
      </w:r>
      <w:r w:rsidR="003A6767">
        <w:t>le</w:t>
      </w:r>
      <w:r>
        <w:t>ss than 30 years of age</w:t>
      </w:r>
      <w:r w:rsidR="003A6767">
        <w:t xml:space="preserve">. </w:t>
      </w:r>
      <w:r>
        <w:t>Since the collapse of the previous central government in</w:t>
      </w:r>
      <w:r w:rsidR="00B136A2">
        <w:t xml:space="preserve"> 1990, Somalia has lacked passive</w:t>
      </w:r>
      <w:r w:rsidR="00DD3255">
        <w:t xml:space="preserve"> and active</w:t>
      </w:r>
      <w:r w:rsidR="00B136A2">
        <w:t xml:space="preserve"> </w:t>
      </w:r>
      <w:proofErr w:type="spellStart"/>
      <w:r w:rsidR="00B136A2">
        <w:t>labour</w:t>
      </w:r>
      <w:proofErr w:type="spellEnd"/>
      <w:r w:rsidR="00B136A2">
        <w:t xml:space="preserve"> market policies and institutions. </w:t>
      </w:r>
      <w:r w:rsidR="003A6767">
        <w:t xml:space="preserve">With </w:t>
      </w:r>
      <w:r w:rsidR="003A6767">
        <w:lastRenderedPageBreak/>
        <w:t xml:space="preserve">limited government ability to create public employment services, unemployment benefits, pension schemes </w:t>
      </w:r>
      <w:r w:rsidR="00DD3255">
        <w:t xml:space="preserve">and </w:t>
      </w:r>
      <w:r w:rsidR="005330EF">
        <w:t>training schemes present a major c</w:t>
      </w:r>
      <w:r w:rsidR="003A6767">
        <w:t>hallenge to the recovery, stability and security.</w:t>
      </w:r>
    </w:p>
    <w:p w:rsidR="003A6767" w:rsidRDefault="003A6767" w:rsidP="002E3425">
      <w:pPr>
        <w:spacing w:after="0"/>
        <w:jc w:val="both"/>
      </w:pPr>
    </w:p>
    <w:p w:rsidR="003A6767" w:rsidRDefault="00DD3255" w:rsidP="002E3425">
      <w:pPr>
        <w:spacing w:after="0"/>
        <w:jc w:val="both"/>
      </w:pPr>
      <w:r>
        <w:t xml:space="preserve">With project support, </w:t>
      </w:r>
      <w:proofErr w:type="spellStart"/>
      <w:r>
        <w:t>labour</w:t>
      </w:r>
      <w:proofErr w:type="spellEnd"/>
      <w:r>
        <w:t xml:space="preserve"> market analyses</w:t>
      </w:r>
      <w:r w:rsidR="003A6767">
        <w:t>, polici</w:t>
      </w:r>
      <w:r w:rsidR="00424604">
        <w:t>es and strategies will be under</w:t>
      </w:r>
      <w:r>
        <w:t>taken in the Newly Recovered A</w:t>
      </w:r>
      <w:r w:rsidR="003A6767">
        <w:t xml:space="preserve">reas to support not only public and the private sector demand </w:t>
      </w:r>
      <w:r>
        <w:t>for</w:t>
      </w:r>
      <w:r w:rsidR="003A6767">
        <w:t xml:space="preserve"> </w:t>
      </w:r>
      <w:proofErr w:type="spellStart"/>
      <w:r w:rsidR="003A6767">
        <w:t>labour</w:t>
      </w:r>
      <w:proofErr w:type="spellEnd"/>
      <w:r w:rsidR="003A6767">
        <w:t xml:space="preserve"> but also </w:t>
      </w:r>
      <w:r w:rsidR="005330EF">
        <w:t xml:space="preserve">to </w:t>
      </w:r>
      <w:r w:rsidR="003A6767">
        <w:t>enhance and standardize</w:t>
      </w:r>
      <w:r>
        <w:t xml:space="preserve"> the</w:t>
      </w:r>
      <w:r w:rsidR="003A6767">
        <w:t xml:space="preserve"> knowledge and skills required in the </w:t>
      </w:r>
      <w:proofErr w:type="spellStart"/>
      <w:r w:rsidR="003A6767">
        <w:t>labour</w:t>
      </w:r>
      <w:proofErr w:type="spellEnd"/>
      <w:r w:rsidR="003A6767">
        <w:t xml:space="preserve"> market. This</w:t>
      </w:r>
      <w:r>
        <w:t xml:space="preserve"> will empower already existing vocational and e</w:t>
      </w:r>
      <w:r w:rsidR="003A6767">
        <w:t>nterprise centers wi</w:t>
      </w:r>
      <w:r>
        <w:t>th the use of common standards for</w:t>
      </w:r>
      <w:r w:rsidR="003A6767">
        <w:t xml:space="preserve"> quality control, accreditation, s</w:t>
      </w:r>
      <w:r w:rsidR="005330EF">
        <w:t xml:space="preserve">tandardization of </w:t>
      </w:r>
      <w:proofErr w:type="spellStart"/>
      <w:r w:rsidR="005330EF">
        <w:t>curriculae</w:t>
      </w:r>
      <w:proofErr w:type="spellEnd"/>
      <w:r w:rsidR="003A6767">
        <w:t xml:space="preserve"> with the technical support of specialized government ministries and UN agencies including ILO, UNESCO and other developmental institutions. The project will </w:t>
      </w:r>
      <w:r>
        <w:t>support initiative</w:t>
      </w:r>
      <w:r w:rsidR="005330EF">
        <w:t>s</w:t>
      </w:r>
      <w:r>
        <w:t xml:space="preserve"> to assist graduate</w:t>
      </w:r>
      <w:r w:rsidR="003A6767">
        <w:t xml:space="preserve"> job searches, CV development, job-placement, in</w:t>
      </w:r>
      <w:r w:rsidR="00B5755C">
        <w:t>ternships and apprenticeships. I</w:t>
      </w:r>
      <w:r w:rsidR="003A6767">
        <w:t xml:space="preserve">n areas with functioning municipalities, the project will engage them to create </w:t>
      </w:r>
      <w:r w:rsidR="005330EF">
        <w:t xml:space="preserve">basic </w:t>
      </w:r>
      <w:proofErr w:type="spellStart"/>
      <w:r w:rsidR="005330EF">
        <w:t>labour</w:t>
      </w:r>
      <w:proofErr w:type="spellEnd"/>
      <w:r w:rsidR="005330EF">
        <w:t xml:space="preserve"> market monitoring systems</w:t>
      </w:r>
      <w:r w:rsidR="003A6767">
        <w:t xml:space="preserve"> (</w:t>
      </w:r>
      <w:r>
        <w:t>with appropriate gender disaggregation</w:t>
      </w:r>
      <w:r w:rsidR="003A6767">
        <w:t>)</w:t>
      </w:r>
      <w:r w:rsidR="005330EF">
        <w:t>.</w:t>
      </w:r>
    </w:p>
    <w:p w:rsidR="003A6767" w:rsidRDefault="003A6767" w:rsidP="002E3425">
      <w:pPr>
        <w:spacing w:after="0"/>
        <w:jc w:val="both"/>
      </w:pPr>
    </w:p>
    <w:p w:rsidR="00523510" w:rsidRDefault="00523510" w:rsidP="002E3425">
      <w:pPr>
        <w:spacing w:after="0"/>
        <w:jc w:val="both"/>
      </w:pPr>
      <w:r w:rsidRPr="00523510">
        <w:rPr>
          <w:i/>
        </w:rPr>
        <w:t xml:space="preserve">Natural Resource Management </w:t>
      </w:r>
    </w:p>
    <w:p w:rsidR="003A6767" w:rsidRDefault="003A6767" w:rsidP="002E3425">
      <w:pPr>
        <w:spacing w:after="0"/>
        <w:jc w:val="both"/>
      </w:pPr>
    </w:p>
    <w:p w:rsidR="003A6767" w:rsidRDefault="004D5D5D" w:rsidP="002E3425">
      <w:pPr>
        <w:spacing w:after="0"/>
        <w:jc w:val="both"/>
      </w:pPr>
      <w:r>
        <w:t>Weak management of natural resources is one of the primary constraints on the develo</w:t>
      </w:r>
      <w:r w:rsidR="00466756">
        <w:t xml:space="preserve">pment of the productive sector </w:t>
      </w:r>
      <w:r>
        <w:t>in Central and South Somalia. This has many dimensions including deforestation and soil degradation in hinterland areas, and the weak management of fisheries resul</w:t>
      </w:r>
      <w:r w:rsidR="00DB492E">
        <w:t xml:space="preserve">ting in sale of </w:t>
      </w:r>
      <w:proofErr w:type="spellStart"/>
      <w:r w:rsidR="00DB492E">
        <w:t>unauthorised</w:t>
      </w:r>
      <w:proofErr w:type="spellEnd"/>
      <w:r w:rsidR="00DB492E">
        <w:t xml:space="preserve"> </w:t>
      </w:r>
      <w:proofErr w:type="spellStart"/>
      <w:r w:rsidR="00DB492E">
        <w:t>lic</w:t>
      </w:r>
      <w:r>
        <w:t>ences</w:t>
      </w:r>
      <w:proofErr w:type="spellEnd"/>
      <w:r>
        <w:t xml:space="preserve"> benefiting local power elites and their </w:t>
      </w:r>
      <w:r w:rsidR="00B5755C">
        <w:t>militias</w:t>
      </w:r>
      <w:r>
        <w:t xml:space="preserve"> in coastal areas. </w:t>
      </w:r>
      <w:r w:rsidR="00B5755C">
        <w:t xml:space="preserve">Many of these problems are </w:t>
      </w:r>
      <w:r w:rsidR="005330EF">
        <w:t>highlighted</w:t>
      </w:r>
      <w:r w:rsidR="00B5755C">
        <w:t xml:space="preserve"> in the Charcoal sector, rooted predominantly in Central and South Somalia and parts of </w:t>
      </w:r>
      <w:proofErr w:type="spellStart"/>
      <w:r w:rsidR="00B5755C">
        <w:t>Puntland</w:t>
      </w:r>
      <w:proofErr w:type="spellEnd"/>
      <w:r w:rsidR="00B5755C">
        <w:t xml:space="preserve">. Charcoal trade, fueled by weakened traditional systems of decision making, unclear land tenure and resource ownership and illegal imports to </w:t>
      </w:r>
      <w:proofErr w:type="spellStart"/>
      <w:r w:rsidR="00B5755C">
        <w:t>neighbouring</w:t>
      </w:r>
      <w:proofErr w:type="spellEnd"/>
      <w:r w:rsidR="00B5755C">
        <w:t xml:space="preserve"> countries in the region, is a</w:t>
      </w:r>
      <w:r w:rsidR="00AC7578">
        <w:t xml:space="preserve"> major source of funding for Al</w:t>
      </w:r>
      <w:r w:rsidR="00B5755C">
        <w:t>-</w:t>
      </w:r>
      <w:proofErr w:type="spellStart"/>
      <w:r w:rsidR="00B5755C">
        <w:t>Shabaab</w:t>
      </w:r>
      <w:proofErr w:type="spellEnd"/>
      <w:r w:rsidR="00B5755C">
        <w:t xml:space="preserve"> and is associated with critical levels of environmental degradation.</w:t>
      </w:r>
    </w:p>
    <w:p w:rsidR="00B5755C" w:rsidRDefault="00B5755C" w:rsidP="002E3425">
      <w:pPr>
        <w:spacing w:after="0"/>
        <w:jc w:val="both"/>
      </w:pPr>
    </w:p>
    <w:p w:rsidR="00B5755C" w:rsidRPr="00B5755C" w:rsidRDefault="00B5755C" w:rsidP="002E3425">
      <w:pPr>
        <w:spacing w:after="0"/>
        <w:jc w:val="both"/>
      </w:pPr>
      <w:r w:rsidRPr="00B5755C">
        <w:t xml:space="preserve">Building on the experience of the recently launched </w:t>
      </w:r>
      <w:r>
        <w:t xml:space="preserve">UN Joint </w:t>
      </w:r>
      <w:proofErr w:type="spellStart"/>
      <w:r>
        <w:t>Programme</w:t>
      </w:r>
      <w:proofErr w:type="spellEnd"/>
      <w:r>
        <w:t xml:space="preserve"> on Charcoal, the project </w:t>
      </w:r>
      <w:r w:rsidR="00474165">
        <w:t xml:space="preserve">will </w:t>
      </w:r>
      <w:r w:rsidR="00695003">
        <w:t xml:space="preserve">assist in the development of legal and regulatory frameworks to strengthen environmental governance </w:t>
      </w:r>
      <w:r w:rsidR="005330EF">
        <w:t>in South and Central Somalia and will</w:t>
      </w:r>
      <w:r w:rsidR="00695003">
        <w:t xml:space="preserve"> </w:t>
      </w:r>
      <w:r w:rsidR="0035018D">
        <w:t>build</w:t>
      </w:r>
      <w:r w:rsidR="00466756">
        <w:t xml:space="preserve"> linkages between communities and relevant national, regional and local government agencies </w:t>
      </w:r>
      <w:r w:rsidR="002F1069">
        <w:t>to put in place community based structures for sustaina</w:t>
      </w:r>
      <w:r w:rsidR="005330EF">
        <w:t>ble natural resource management.</w:t>
      </w:r>
      <w:r w:rsidR="002F1069">
        <w:t xml:space="preserve"> </w:t>
      </w:r>
      <w:r w:rsidR="00811B1D">
        <w:t xml:space="preserve"> </w:t>
      </w:r>
      <w:r w:rsidR="005330EF">
        <w:t>Advisory</w:t>
      </w:r>
      <w:r w:rsidR="002F1069">
        <w:t xml:space="preserve"> services</w:t>
      </w:r>
      <w:r w:rsidR="005330EF">
        <w:t xml:space="preserve"> </w:t>
      </w:r>
      <w:proofErr w:type="gramStart"/>
      <w:r w:rsidR="005330EF">
        <w:t>will  be</w:t>
      </w:r>
      <w:proofErr w:type="gramEnd"/>
      <w:r w:rsidR="005330EF">
        <w:t xml:space="preserve"> supported</w:t>
      </w:r>
      <w:r w:rsidR="002F1069">
        <w:t xml:space="preserve"> to raise awareness of the impacts of environmental degradation and to promote the sustainable</w:t>
      </w:r>
      <w:r w:rsidR="00695003">
        <w:t xml:space="preserve"> </w:t>
      </w:r>
      <w:r w:rsidR="005330EF">
        <w:t>use and natural resource assets, thus reducing</w:t>
      </w:r>
      <w:r w:rsidR="00695003">
        <w:t xml:space="preserve"> the potential for natural resource based conflict. </w:t>
      </w:r>
    </w:p>
    <w:p w:rsidR="00523510" w:rsidRPr="00B5755C" w:rsidRDefault="00523510" w:rsidP="002E3425">
      <w:pPr>
        <w:spacing w:after="0"/>
        <w:jc w:val="both"/>
      </w:pPr>
    </w:p>
    <w:p w:rsidR="002F1A35" w:rsidRPr="002F1A35" w:rsidRDefault="00811B1D" w:rsidP="002E3425">
      <w:pPr>
        <w:jc w:val="both"/>
        <w:rPr>
          <w:color w:val="4F81BD" w:themeColor="accent1"/>
        </w:rPr>
      </w:pPr>
      <w:r>
        <w:rPr>
          <w:rStyle w:val="IntenseEmphasis"/>
          <w:i w:val="0"/>
        </w:rPr>
        <w:t>Management and Implementation Arrangements</w:t>
      </w:r>
      <w:r w:rsidR="002F1A35">
        <w:rPr>
          <w:rStyle w:val="IntenseEmphasis"/>
          <w:i w:val="0"/>
        </w:rPr>
        <w:t xml:space="preserve"> </w:t>
      </w:r>
    </w:p>
    <w:p w:rsidR="00811B1D" w:rsidRDefault="00811B1D" w:rsidP="002E3425">
      <w:pPr>
        <w:jc w:val="both"/>
        <w:rPr>
          <w:rStyle w:val="IntenseEmphasis"/>
          <w:b w:val="0"/>
          <w:i w:val="0"/>
          <w:color w:val="auto"/>
        </w:rPr>
      </w:pPr>
      <w:r w:rsidRPr="00811B1D">
        <w:rPr>
          <w:rStyle w:val="IntenseEmphasis"/>
          <w:b w:val="0"/>
          <w:i w:val="0"/>
          <w:color w:val="auto"/>
        </w:rPr>
        <w:t>In</w:t>
      </w:r>
      <w:r>
        <w:rPr>
          <w:rStyle w:val="IntenseEmphasis"/>
          <w:b w:val="0"/>
          <w:i w:val="0"/>
          <w:color w:val="auto"/>
        </w:rPr>
        <w:t xml:space="preserve"> accordance with standard </w:t>
      </w:r>
      <w:r w:rsidR="00AC7578">
        <w:rPr>
          <w:rStyle w:val="IntenseEmphasis"/>
          <w:b w:val="0"/>
          <w:i w:val="0"/>
          <w:color w:val="auto"/>
        </w:rPr>
        <w:t xml:space="preserve">UNDP </w:t>
      </w:r>
      <w:r>
        <w:rPr>
          <w:rStyle w:val="IntenseEmphasis"/>
          <w:b w:val="0"/>
          <w:i w:val="0"/>
          <w:color w:val="auto"/>
        </w:rPr>
        <w:t>project management arrangements</w:t>
      </w:r>
      <w:r w:rsidRPr="00811B1D">
        <w:rPr>
          <w:rStyle w:val="IntenseEmphasis"/>
          <w:b w:val="0"/>
          <w:i w:val="0"/>
          <w:color w:val="auto"/>
        </w:rPr>
        <w:t xml:space="preserve"> three functional levels of</w:t>
      </w:r>
      <w:r>
        <w:rPr>
          <w:rStyle w:val="IntenseEmphasis"/>
          <w:b w:val="0"/>
          <w:i w:val="0"/>
          <w:color w:val="auto"/>
        </w:rPr>
        <w:t xml:space="preserve"> accountability and transparency will</w:t>
      </w:r>
      <w:r w:rsidR="00AC7578">
        <w:rPr>
          <w:rStyle w:val="IntenseEmphasis"/>
          <w:b w:val="0"/>
          <w:i w:val="0"/>
          <w:color w:val="auto"/>
        </w:rPr>
        <w:t xml:space="preserve"> </w:t>
      </w:r>
      <w:r w:rsidR="002C5422">
        <w:rPr>
          <w:rStyle w:val="IntenseEmphasis"/>
          <w:b w:val="0"/>
          <w:i w:val="0"/>
          <w:color w:val="auto"/>
        </w:rPr>
        <w:t xml:space="preserve">be </w:t>
      </w:r>
      <w:r w:rsidR="00AC7578">
        <w:rPr>
          <w:rStyle w:val="IntenseEmphasis"/>
          <w:b w:val="0"/>
          <w:i w:val="0"/>
          <w:color w:val="auto"/>
        </w:rPr>
        <w:t xml:space="preserve">implemented; </w:t>
      </w:r>
      <w:proofErr w:type="spellStart"/>
      <w:r w:rsidR="00AC7578">
        <w:rPr>
          <w:rStyle w:val="IntenseEmphasis"/>
          <w:b w:val="0"/>
          <w:i w:val="0"/>
          <w:color w:val="auto"/>
        </w:rPr>
        <w:t>i</w:t>
      </w:r>
      <w:proofErr w:type="spellEnd"/>
      <w:r w:rsidR="00AC7578">
        <w:rPr>
          <w:rStyle w:val="IntenseEmphasis"/>
          <w:b w:val="0"/>
          <w:i w:val="0"/>
          <w:color w:val="auto"/>
        </w:rPr>
        <w:t>.</w:t>
      </w:r>
      <w:r w:rsidRPr="00811B1D">
        <w:rPr>
          <w:rStyle w:val="IntenseEmphasis"/>
          <w:b w:val="0"/>
          <w:i w:val="0"/>
          <w:color w:val="auto"/>
        </w:rPr>
        <w:t xml:space="preserve"> </w:t>
      </w:r>
      <w:r>
        <w:rPr>
          <w:rStyle w:val="IntenseEmphasis"/>
          <w:b w:val="0"/>
          <w:i w:val="0"/>
          <w:color w:val="auto"/>
        </w:rPr>
        <w:t>a</w:t>
      </w:r>
      <w:r w:rsidRPr="00811B1D">
        <w:rPr>
          <w:rStyle w:val="IntenseEmphasis"/>
          <w:b w:val="0"/>
          <w:i w:val="0"/>
          <w:color w:val="auto"/>
        </w:rPr>
        <w:t xml:space="preserve"> </w:t>
      </w:r>
      <w:r>
        <w:rPr>
          <w:rStyle w:val="IntenseEmphasis"/>
          <w:b w:val="0"/>
          <w:i w:val="0"/>
          <w:color w:val="auto"/>
        </w:rPr>
        <w:t>Project S</w:t>
      </w:r>
      <w:r w:rsidRPr="00811B1D">
        <w:rPr>
          <w:rStyle w:val="IntenseEmphasis"/>
          <w:b w:val="0"/>
          <w:i w:val="0"/>
          <w:color w:val="auto"/>
        </w:rPr>
        <w:t xml:space="preserve">teering Committee function </w:t>
      </w:r>
      <w:r w:rsidR="00ED3AF7">
        <w:rPr>
          <w:rStyle w:val="IntenseEmphasis"/>
          <w:b w:val="0"/>
          <w:i w:val="0"/>
          <w:color w:val="auto"/>
        </w:rPr>
        <w:t xml:space="preserve">enabling </w:t>
      </w:r>
      <w:r w:rsidRPr="00811B1D">
        <w:rPr>
          <w:rStyle w:val="IntenseEmphasis"/>
          <w:b w:val="0"/>
          <w:i w:val="0"/>
          <w:color w:val="auto"/>
        </w:rPr>
        <w:t>government, development partners and UNDP strategically agree on priorities, review progress and approve pla</w:t>
      </w:r>
      <w:r w:rsidR="00AC7578">
        <w:rPr>
          <w:rStyle w:val="IntenseEmphasis"/>
          <w:b w:val="0"/>
          <w:i w:val="0"/>
          <w:color w:val="auto"/>
        </w:rPr>
        <w:t xml:space="preserve">ns twice a year at least; ii. </w:t>
      </w:r>
      <w:proofErr w:type="gramStart"/>
      <w:r>
        <w:rPr>
          <w:rStyle w:val="IntenseEmphasis"/>
          <w:b w:val="0"/>
          <w:i w:val="0"/>
          <w:color w:val="auto"/>
        </w:rPr>
        <w:t>a</w:t>
      </w:r>
      <w:proofErr w:type="gramEnd"/>
      <w:r>
        <w:rPr>
          <w:rStyle w:val="IntenseEmphasis"/>
          <w:b w:val="0"/>
          <w:i w:val="0"/>
          <w:color w:val="auto"/>
        </w:rPr>
        <w:t xml:space="preserve"> Project</w:t>
      </w:r>
      <w:r w:rsidRPr="00811B1D">
        <w:rPr>
          <w:rStyle w:val="IntenseEmphasis"/>
          <w:b w:val="0"/>
          <w:i w:val="0"/>
          <w:color w:val="auto"/>
        </w:rPr>
        <w:t xml:space="preserve"> </w:t>
      </w:r>
      <w:r>
        <w:rPr>
          <w:rStyle w:val="IntenseEmphasis"/>
          <w:b w:val="0"/>
          <w:i w:val="0"/>
          <w:color w:val="auto"/>
        </w:rPr>
        <w:t>B</w:t>
      </w:r>
      <w:r w:rsidRPr="00811B1D">
        <w:rPr>
          <w:rStyle w:val="IntenseEmphasis"/>
          <w:b w:val="0"/>
          <w:i w:val="0"/>
          <w:color w:val="auto"/>
        </w:rPr>
        <w:t>oard function to review</w:t>
      </w:r>
      <w:r w:rsidR="00ED3AF7">
        <w:rPr>
          <w:rStyle w:val="IntenseEmphasis"/>
          <w:b w:val="0"/>
          <w:i w:val="0"/>
          <w:color w:val="auto"/>
        </w:rPr>
        <w:t xml:space="preserve"> the </w:t>
      </w:r>
      <w:r>
        <w:rPr>
          <w:rStyle w:val="IntenseEmphasis"/>
          <w:b w:val="0"/>
          <w:i w:val="0"/>
          <w:color w:val="auto"/>
        </w:rPr>
        <w:t>progress on a quarterly basis</w:t>
      </w:r>
      <w:r w:rsidR="00AC7578">
        <w:rPr>
          <w:rStyle w:val="IntenseEmphasis"/>
          <w:b w:val="0"/>
          <w:i w:val="0"/>
          <w:color w:val="auto"/>
        </w:rPr>
        <w:t>; and iii.</w:t>
      </w:r>
      <w:r w:rsidRPr="00811B1D">
        <w:rPr>
          <w:rStyle w:val="IntenseEmphasis"/>
          <w:b w:val="0"/>
          <w:i w:val="0"/>
          <w:color w:val="auto"/>
        </w:rPr>
        <w:t xml:space="preserve"> </w:t>
      </w:r>
      <w:proofErr w:type="gramStart"/>
      <w:r w:rsidR="00ED3AF7">
        <w:rPr>
          <w:rStyle w:val="IntenseEmphasis"/>
          <w:b w:val="0"/>
          <w:i w:val="0"/>
          <w:color w:val="auto"/>
        </w:rPr>
        <w:t>a</w:t>
      </w:r>
      <w:proofErr w:type="gramEnd"/>
      <w:r w:rsidR="00ED3AF7">
        <w:rPr>
          <w:rStyle w:val="IntenseEmphasis"/>
          <w:b w:val="0"/>
          <w:i w:val="0"/>
          <w:color w:val="auto"/>
        </w:rPr>
        <w:t xml:space="preserve"> Project Assurance function at program</w:t>
      </w:r>
      <w:r w:rsidRPr="00811B1D">
        <w:rPr>
          <w:rStyle w:val="IntenseEmphasis"/>
          <w:b w:val="0"/>
          <w:i w:val="0"/>
          <w:color w:val="auto"/>
        </w:rPr>
        <w:t xml:space="preserve"> and project management level </w:t>
      </w:r>
      <w:r w:rsidR="00ED3AF7">
        <w:rPr>
          <w:rStyle w:val="IntenseEmphasis"/>
          <w:b w:val="0"/>
          <w:i w:val="0"/>
          <w:color w:val="auto"/>
        </w:rPr>
        <w:t xml:space="preserve">in relation to </w:t>
      </w:r>
      <w:r w:rsidRPr="00811B1D">
        <w:rPr>
          <w:rStyle w:val="IntenseEmphasis"/>
          <w:b w:val="0"/>
          <w:i w:val="0"/>
          <w:color w:val="auto"/>
        </w:rPr>
        <w:t xml:space="preserve"> day-to-day </w:t>
      </w:r>
      <w:r w:rsidR="00ED3AF7">
        <w:rPr>
          <w:rStyle w:val="IntenseEmphasis"/>
          <w:b w:val="0"/>
          <w:i w:val="0"/>
          <w:color w:val="auto"/>
        </w:rPr>
        <w:t xml:space="preserve">project </w:t>
      </w:r>
      <w:r w:rsidRPr="00811B1D">
        <w:rPr>
          <w:rStyle w:val="IntenseEmphasis"/>
          <w:b w:val="0"/>
          <w:i w:val="0"/>
          <w:color w:val="auto"/>
        </w:rPr>
        <w:t>activities</w:t>
      </w:r>
      <w:r w:rsidR="00ED3AF7">
        <w:rPr>
          <w:rStyle w:val="IntenseEmphasis"/>
          <w:b w:val="0"/>
          <w:i w:val="0"/>
          <w:color w:val="auto"/>
        </w:rPr>
        <w:t>,</w:t>
      </w:r>
      <w:r w:rsidRPr="00811B1D">
        <w:rPr>
          <w:rStyle w:val="IntenseEmphasis"/>
          <w:b w:val="0"/>
          <w:i w:val="0"/>
          <w:color w:val="auto"/>
        </w:rPr>
        <w:t xml:space="preserve"> using UNDP rules and regulations </w:t>
      </w:r>
      <w:r w:rsidR="00ED3AF7">
        <w:rPr>
          <w:rStyle w:val="IntenseEmphasis"/>
          <w:b w:val="0"/>
          <w:i w:val="0"/>
          <w:color w:val="auto"/>
        </w:rPr>
        <w:t>periodic audits</w:t>
      </w:r>
      <w:r w:rsidRPr="00811B1D">
        <w:rPr>
          <w:rStyle w:val="IntenseEmphasis"/>
          <w:b w:val="0"/>
          <w:i w:val="0"/>
          <w:color w:val="auto"/>
        </w:rPr>
        <w:t xml:space="preserve">. </w:t>
      </w:r>
    </w:p>
    <w:p w:rsidR="00ED3AF7" w:rsidRDefault="00ED3AF7" w:rsidP="002E3425">
      <w:pPr>
        <w:jc w:val="both"/>
        <w:rPr>
          <w:rStyle w:val="IntenseEmphasis"/>
          <w:b w:val="0"/>
          <w:i w:val="0"/>
          <w:color w:val="auto"/>
        </w:rPr>
      </w:pPr>
      <w:r>
        <w:rPr>
          <w:rStyle w:val="IntenseEmphasis"/>
          <w:b w:val="0"/>
          <w:i w:val="0"/>
          <w:color w:val="auto"/>
        </w:rPr>
        <w:lastRenderedPageBreak/>
        <w:t xml:space="preserve">In addition, and building on experience gained through the implementation of the UNDP </w:t>
      </w:r>
      <w:r w:rsidR="00AC7578">
        <w:rPr>
          <w:rStyle w:val="IntenseEmphasis"/>
          <w:b w:val="0"/>
          <w:i w:val="0"/>
          <w:color w:val="auto"/>
        </w:rPr>
        <w:t xml:space="preserve"> </w:t>
      </w:r>
      <w:r>
        <w:rPr>
          <w:rStyle w:val="IntenseEmphasis"/>
          <w:b w:val="0"/>
          <w:i w:val="0"/>
          <w:color w:val="auto"/>
        </w:rPr>
        <w:t xml:space="preserve">ABER and EGER projects, </w:t>
      </w:r>
      <w:r w:rsidR="00AC7578">
        <w:rPr>
          <w:rStyle w:val="IntenseEmphasis"/>
          <w:b w:val="0"/>
          <w:i w:val="0"/>
          <w:color w:val="auto"/>
        </w:rPr>
        <w:t xml:space="preserve">a </w:t>
      </w:r>
      <w:r w:rsidRPr="00ED3AF7">
        <w:rPr>
          <w:rStyle w:val="IntenseEmphasis"/>
          <w:b w:val="0"/>
          <w:i w:val="0"/>
          <w:color w:val="auto"/>
        </w:rPr>
        <w:t xml:space="preserve">technology based real-time </w:t>
      </w:r>
      <w:r>
        <w:rPr>
          <w:rStyle w:val="IntenseEmphasis"/>
          <w:b w:val="0"/>
          <w:i w:val="0"/>
          <w:color w:val="auto"/>
        </w:rPr>
        <w:t xml:space="preserve">project </w:t>
      </w:r>
      <w:r w:rsidRPr="00ED3AF7">
        <w:rPr>
          <w:rStyle w:val="IntenseEmphasis"/>
          <w:b w:val="0"/>
          <w:i w:val="0"/>
          <w:color w:val="auto"/>
        </w:rPr>
        <w:t>information management system</w:t>
      </w:r>
      <w:r w:rsidR="00AC7578">
        <w:rPr>
          <w:rStyle w:val="IntenseEmphasis"/>
          <w:b w:val="0"/>
          <w:i w:val="0"/>
          <w:color w:val="auto"/>
        </w:rPr>
        <w:t xml:space="preserve"> </w:t>
      </w:r>
      <w:r>
        <w:rPr>
          <w:rStyle w:val="IntenseEmphasis"/>
          <w:b w:val="0"/>
          <w:i w:val="0"/>
          <w:color w:val="auto"/>
        </w:rPr>
        <w:t>will be established</w:t>
      </w:r>
      <w:r w:rsidRPr="00ED3AF7">
        <w:rPr>
          <w:rStyle w:val="IntenseEmphasis"/>
          <w:b w:val="0"/>
          <w:i w:val="0"/>
          <w:color w:val="auto"/>
        </w:rPr>
        <w:t xml:space="preserve">, </w:t>
      </w:r>
      <w:r>
        <w:rPr>
          <w:rStyle w:val="IntenseEmphasis"/>
          <w:b w:val="0"/>
          <w:i w:val="0"/>
          <w:color w:val="auto"/>
        </w:rPr>
        <w:t>as well as a tried and tested third part</w:t>
      </w:r>
      <w:r w:rsidR="00424604">
        <w:rPr>
          <w:rStyle w:val="IntenseEmphasis"/>
          <w:b w:val="0"/>
          <w:i w:val="0"/>
          <w:color w:val="auto"/>
        </w:rPr>
        <w:t>y</w:t>
      </w:r>
      <w:r>
        <w:rPr>
          <w:rStyle w:val="IntenseEmphasis"/>
          <w:b w:val="0"/>
          <w:i w:val="0"/>
          <w:color w:val="auto"/>
        </w:rPr>
        <w:t xml:space="preserve"> monitoring system for inaccessible areas.</w:t>
      </w:r>
    </w:p>
    <w:p w:rsidR="002F1A35" w:rsidRPr="002F1A35" w:rsidRDefault="00ED3AF7" w:rsidP="002E3425">
      <w:pPr>
        <w:jc w:val="both"/>
        <w:rPr>
          <w:rStyle w:val="IntenseEmphasis"/>
          <w:b w:val="0"/>
          <w:i w:val="0"/>
          <w:color w:val="auto"/>
        </w:rPr>
      </w:pPr>
      <w:r>
        <w:rPr>
          <w:rStyle w:val="IntenseEmphasis"/>
          <w:b w:val="0"/>
          <w:i w:val="0"/>
          <w:color w:val="auto"/>
        </w:rPr>
        <w:t>T</w:t>
      </w:r>
      <w:r w:rsidR="007F6C33">
        <w:rPr>
          <w:rStyle w:val="IntenseEmphasis"/>
          <w:b w:val="0"/>
          <w:i w:val="0"/>
          <w:color w:val="auto"/>
        </w:rPr>
        <w:t>he project will adopt</w:t>
      </w:r>
      <w:r w:rsidR="0035018D">
        <w:rPr>
          <w:rStyle w:val="IntenseEmphasis"/>
          <w:b w:val="0"/>
          <w:i w:val="0"/>
          <w:color w:val="auto"/>
        </w:rPr>
        <w:t xml:space="preserve"> a</w:t>
      </w:r>
      <w:r w:rsidR="002F1A35" w:rsidRPr="002F1A35">
        <w:rPr>
          <w:rStyle w:val="IntenseEmphasis"/>
          <w:b w:val="0"/>
          <w:i w:val="0"/>
          <w:color w:val="auto"/>
        </w:rPr>
        <w:t xml:space="preserve"> direct implementation modality (DIM). I</w:t>
      </w:r>
      <w:r w:rsidR="007F6C33">
        <w:rPr>
          <w:rStyle w:val="IntenseEmphasis"/>
          <w:b w:val="0"/>
          <w:i w:val="0"/>
          <w:color w:val="auto"/>
        </w:rPr>
        <w:t>n consultation with donors and relevant g</w:t>
      </w:r>
      <w:r w:rsidR="002F1A35" w:rsidRPr="002F1A35">
        <w:rPr>
          <w:rStyle w:val="IntenseEmphasis"/>
          <w:b w:val="0"/>
          <w:i w:val="0"/>
          <w:color w:val="auto"/>
        </w:rPr>
        <w:t>overnment</w:t>
      </w:r>
      <w:r w:rsidR="007F6C33">
        <w:rPr>
          <w:rStyle w:val="IntenseEmphasis"/>
          <w:b w:val="0"/>
          <w:i w:val="0"/>
          <w:color w:val="auto"/>
        </w:rPr>
        <w:t xml:space="preserve"> agencies</w:t>
      </w:r>
      <w:r w:rsidR="002F1A35" w:rsidRPr="002F1A35">
        <w:rPr>
          <w:rStyle w:val="IntenseEmphasis"/>
          <w:b w:val="0"/>
          <w:i w:val="0"/>
          <w:color w:val="auto"/>
        </w:rPr>
        <w:t xml:space="preserve">, implementation </w:t>
      </w:r>
      <w:r w:rsidR="0035018D">
        <w:rPr>
          <w:rStyle w:val="IntenseEmphasis"/>
          <w:b w:val="0"/>
          <w:i w:val="0"/>
          <w:color w:val="auto"/>
        </w:rPr>
        <w:t xml:space="preserve">will </w:t>
      </w:r>
      <w:r w:rsidR="002F1A35" w:rsidRPr="002F1A35">
        <w:rPr>
          <w:rStyle w:val="IntenseEmphasis"/>
          <w:b w:val="0"/>
          <w:i w:val="0"/>
          <w:color w:val="auto"/>
        </w:rPr>
        <w:t>be carried out through pre-qualified local implementing institutions including CSO</w:t>
      </w:r>
      <w:r w:rsidR="001D01DC">
        <w:rPr>
          <w:rStyle w:val="IntenseEmphasis"/>
          <w:b w:val="0"/>
          <w:i w:val="0"/>
          <w:color w:val="auto"/>
        </w:rPr>
        <w:t xml:space="preserve">s </w:t>
      </w:r>
      <w:r w:rsidR="002F1A35" w:rsidRPr="002F1A35">
        <w:rPr>
          <w:rStyle w:val="IntenseEmphasis"/>
          <w:b w:val="0"/>
          <w:i w:val="0"/>
          <w:color w:val="auto"/>
        </w:rPr>
        <w:t>/</w:t>
      </w:r>
      <w:r w:rsidR="001D01DC">
        <w:rPr>
          <w:rStyle w:val="IntenseEmphasis"/>
          <w:b w:val="0"/>
          <w:i w:val="0"/>
          <w:color w:val="auto"/>
        </w:rPr>
        <w:t xml:space="preserve"> </w:t>
      </w:r>
      <w:r w:rsidR="002F1A35" w:rsidRPr="002F1A35">
        <w:rPr>
          <w:rStyle w:val="IntenseEmphasis"/>
          <w:b w:val="0"/>
          <w:i w:val="0"/>
          <w:color w:val="auto"/>
        </w:rPr>
        <w:t xml:space="preserve">NGOs, with </w:t>
      </w:r>
      <w:r w:rsidR="0035018D">
        <w:rPr>
          <w:rStyle w:val="IntenseEmphasis"/>
          <w:b w:val="0"/>
          <w:i w:val="0"/>
          <w:color w:val="auto"/>
        </w:rPr>
        <w:t xml:space="preserve">appropriate track </w:t>
      </w:r>
      <w:r w:rsidR="002F1A35" w:rsidRPr="002F1A35">
        <w:rPr>
          <w:rStyle w:val="IntenseEmphasis"/>
          <w:b w:val="0"/>
          <w:i w:val="0"/>
          <w:color w:val="auto"/>
        </w:rPr>
        <w:t>reco</w:t>
      </w:r>
      <w:r w:rsidR="001D01DC">
        <w:rPr>
          <w:rStyle w:val="IntenseEmphasis"/>
          <w:b w:val="0"/>
          <w:i w:val="0"/>
          <w:color w:val="auto"/>
        </w:rPr>
        <w:t xml:space="preserve">rds and </w:t>
      </w:r>
      <w:r w:rsidR="007F6C33">
        <w:rPr>
          <w:rStyle w:val="IntenseEmphasis"/>
          <w:b w:val="0"/>
          <w:i w:val="0"/>
          <w:color w:val="auto"/>
        </w:rPr>
        <w:t>outreach</w:t>
      </w:r>
      <w:r w:rsidR="001D01DC">
        <w:rPr>
          <w:rStyle w:val="IntenseEmphasis"/>
          <w:b w:val="0"/>
          <w:i w:val="0"/>
          <w:color w:val="auto"/>
        </w:rPr>
        <w:t xml:space="preserve"> </w:t>
      </w:r>
      <w:r w:rsidR="002F1A35" w:rsidRPr="002F1A35">
        <w:rPr>
          <w:rStyle w:val="IntenseEmphasis"/>
          <w:b w:val="0"/>
          <w:i w:val="0"/>
          <w:color w:val="auto"/>
        </w:rPr>
        <w:t xml:space="preserve">using stringent selection criteria </w:t>
      </w:r>
      <w:r w:rsidR="001D01DC">
        <w:rPr>
          <w:rStyle w:val="IntenseEmphasis"/>
          <w:b w:val="0"/>
          <w:i w:val="0"/>
          <w:color w:val="auto"/>
        </w:rPr>
        <w:t>relating to capacity</w:t>
      </w:r>
      <w:r w:rsidR="002F1A35" w:rsidRPr="002F1A35">
        <w:rPr>
          <w:rStyle w:val="IntenseEmphasis"/>
          <w:b w:val="0"/>
          <w:i w:val="0"/>
          <w:color w:val="auto"/>
        </w:rPr>
        <w:t xml:space="preserve">, previous experience in carrying </w:t>
      </w:r>
      <w:r w:rsidR="001D01DC">
        <w:rPr>
          <w:rStyle w:val="IntenseEmphasis"/>
          <w:b w:val="0"/>
          <w:i w:val="0"/>
          <w:color w:val="auto"/>
        </w:rPr>
        <w:t xml:space="preserve">out </w:t>
      </w:r>
      <w:r w:rsidR="002F1A35" w:rsidRPr="002F1A35">
        <w:rPr>
          <w:rStyle w:val="IntenseEmphasis"/>
          <w:b w:val="0"/>
          <w:i w:val="0"/>
          <w:color w:val="auto"/>
        </w:rPr>
        <w:t>similar activities, reputation, financial and project management,</w:t>
      </w:r>
      <w:r w:rsidR="0035018D">
        <w:rPr>
          <w:rStyle w:val="IntenseEmphasis"/>
          <w:b w:val="0"/>
          <w:i w:val="0"/>
          <w:color w:val="auto"/>
        </w:rPr>
        <w:t xml:space="preserve"> networking and accountability.</w:t>
      </w:r>
      <w:r w:rsidR="002F1A35" w:rsidRPr="002F1A35">
        <w:rPr>
          <w:rStyle w:val="IntenseEmphasis"/>
          <w:b w:val="0"/>
          <w:i w:val="0"/>
          <w:color w:val="auto"/>
        </w:rPr>
        <w:t xml:space="preserve"> </w:t>
      </w:r>
    </w:p>
    <w:p w:rsidR="002F1A35" w:rsidRPr="002F1A35" w:rsidRDefault="0035018D" w:rsidP="002E3425">
      <w:pPr>
        <w:jc w:val="both"/>
        <w:rPr>
          <w:rStyle w:val="IntenseEmphasis"/>
          <w:b w:val="0"/>
          <w:i w:val="0"/>
          <w:color w:val="auto"/>
        </w:rPr>
      </w:pPr>
      <w:r>
        <w:rPr>
          <w:rStyle w:val="IntenseEmphasis"/>
          <w:b w:val="0"/>
          <w:i w:val="0"/>
          <w:color w:val="auto"/>
        </w:rPr>
        <w:t>In</w:t>
      </w:r>
      <w:r w:rsidR="002F1A35" w:rsidRPr="002F1A35">
        <w:rPr>
          <w:rStyle w:val="IntenseEmphasis"/>
          <w:b w:val="0"/>
          <w:i w:val="0"/>
          <w:color w:val="auto"/>
        </w:rPr>
        <w:t xml:space="preserve"> s</w:t>
      </w:r>
      <w:r>
        <w:rPr>
          <w:rStyle w:val="IntenseEmphasis"/>
          <w:b w:val="0"/>
          <w:i w:val="0"/>
          <w:color w:val="auto"/>
        </w:rPr>
        <w:t>elect</w:t>
      </w:r>
      <w:r w:rsidR="002F1A35" w:rsidRPr="002F1A35">
        <w:rPr>
          <w:rStyle w:val="IntenseEmphasis"/>
          <w:b w:val="0"/>
          <w:i w:val="0"/>
          <w:color w:val="auto"/>
        </w:rPr>
        <w:t xml:space="preserve"> cases implementation </w:t>
      </w:r>
      <w:r>
        <w:rPr>
          <w:rStyle w:val="IntenseEmphasis"/>
          <w:b w:val="0"/>
          <w:i w:val="0"/>
          <w:color w:val="auto"/>
        </w:rPr>
        <w:t xml:space="preserve">will </w:t>
      </w:r>
      <w:r w:rsidR="002F1A35" w:rsidRPr="002F1A35">
        <w:rPr>
          <w:rStyle w:val="IntenseEmphasis"/>
          <w:b w:val="0"/>
          <w:i w:val="0"/>
          <w:color w:val="auto"/>
        </w:rPr>
        <w:t>be carried out through local authorities and</w:t>
      </w:r>
      <w:r>
        <w:rPr>
          <w:rStyle w:val="IntenseEmphasis"/>
          <w:b w:val="0"/>
          <w:i w:val="0"/>
          <w:color w:val="auto"/>
        </w:rPr>
        <w:t xml:space="preserve"> </w:t>
      </w:r>
      <w:r w:rsidR="002F1A35" w:rsidRPr="002F1A35">
        <w:rPr>
          <w:rStyle w:val="IntenseEmphasis"/>
          <w:b w:val="0"/>
          <w:i w:val="0"/>
          <w:color w:val="auto"/>
        </w:rPr>
        <w:t>/</w:t>
      </w:r>
      <w:r>
        <w:rPr>
          <w:rStyle w:val="IntenseEmphasis"/>
          <w:b w:val="0"/>
          <w:i w:val="0"/>
          <w:color w:val="auto"/>
        </w:rPr>
        <w:t xml:space="preserve"> </w:t>
      </w:r>
      <w:r w:rsidR="002F1A35" w:rsidRPr="002F1A35">
        <w:rPr>
          <w:rStyle w:val="IntenseEmphasis"/>
          <w:b w:val="0"/>
          <w:i w:val="0"/>
          <w:color w:val="auto"/>
        </w:rPr>
        <w:t xml:space="preserve">or line ministries </w:t>
      </w:r>
      <w:r>
        <w:rPr>
          <w:rStyle w:val="IntenseEmphasis"/>
          <w:b w:val="0"/>
          <w:i w:val="0"/>
          <w:color w:val="auto"/>
        </w:rPr>
        <w:t>with the required</w:t>
      </w:r>
      <w:r w:rsidR="002F1A35" w:rsidRPr="002F1A35">
        <w:rPr>
          <w:rStyle w:val="IntenseEmphasis"/>
          <w:b w:val="0"/>
          <w:i w:val="0"/>
          <w:color w:val="auto"/>
        </w:rPr>
        <w:t xml:space="preserve"> capacity and required qualification</w:t>
      </w:r>
      <w:r>
        <w:rPr>
          <w:rStyle w:val="IntenseEmphasis"/>
          <w:b w:val="0"/>
          <w:i w:val="0"/>
          <w:color w:val="auto"/>
        </w:rPr>
        <w:t>s and track record.  C</w:t>
      </w:r>
      <w:r w:rsidR="002F1A35" w:rsidRPr="002F1A35">
        <w:rPr>
          <w:rStyle w:val="IntenseEmphasis"/>
          <w:b w:val="0"/>
          <w:i w:val="0"/>
          <w:color w:val="auto"/>
        </w:rPr>
        <w:t>ivil work</w:t>
      </w:r>
      <w:r>
        <w:rPr>
          <w:rStyle w:val="IntenseEmphasis"/>
          <w:b w:val="0"/>
          <w:i w:val="0"/>
          <w:color w:val="auto"/>
        </w:rPr>
        <w:t>s</w:t>
      </w:r>
      <w:r w:rsidR="00811B1D">
        <w:rPr>
          <w:rStyle w:val="IntenseEmphasis"/>
          <w:b w:val="0"/>
          <w:i w:val="0"/>
          <w:color w:val="auto"/>
        </w:rPr>
        <w:t xml:space="preserve"> interventions</w:t>
      </w:r>
      <w:r w:rsidR="002F1A35" w:rsidRPr="002F1A35">
        <w:rPr>
          <w:rStyle w:val="IntenseEmphasis"/>
          <w:b w:val="0"/>
          <w:i w:val="0"/>
          <w:color w:val="auto"/>
        </w:rPr>
        <w:t xml:space="preserve"> </w:t>
      </w:r>
      <w:r>
        <w:rPr>
          <w:rStyle w:val="IntenseEmphasis"/>
          <w:b w:val="0"/>
          <w:i w:val="0"/>
          <w:color w:val="auto"/>
        </w:rPr>
        <w:t>will be implemented though similarly</w:t>
      </w:r>
      <w:r w:rsidR="002F1A35" w:rsidRPr="002F1A35">
        <w:rPr>
          <w:rStyle w:val="IntenseEmphasis"/>
          <w:b w:val="0"/>
          <w:i w:val="0"/>
          <w:color w:val="auto"/>
        </w:rPr>
        <w:t xml:space="preserve"> pre-qualified private civil-work companies/ contractors. </w:t>
      </w:r>
    </w:p>
    <w:p w:rsidR="00811B1D" w:rsidRPr="00D77F82" w:rsidRDefault="00811B1D" w:rsidP="00811B1D">
      <w:pPr>
        <w:jc w:val="both"/>
        <w:rPr>
          <w:rStyle w:val="IntenseEmphasis"/>
          <w:b w:val="0"/>
          <w:i w:val="0"/>
          <w:color w:val="auto"/>
        </w:rPr>
      </w:pPr>
      <w:r w:rsidRPr="00D77F82">
        <w:rPr>
          <w:rStyle w:val="IntenseEmphasis"/>
          <w:b w:val="0"/>
          <w:i w:val="0"/>
          <w:color w:val="auto"/>
        </w:rPr>
        <w:t xml:space="preserve">In line with </w:t>
      </w:r>
      <w:r w:rsidR="00D77F82" w:rsidRPr="00D77F82">
        <w:rPr>
          <w:rStyle w:val="IntenseEmphasis"/>
          <w:b w:val="0"/>
          <w:i w:val="0"/>
          <w:color w:val="auto"/>
        </w:rPr>
        <w:t xml:space="preserve">standard </w:t>
      </w:r>
      <w:r w:rsidRPr="00D77F82">
        <w:rPr>
          <w:rStyle w:val="IntenseEmphasis"/>
          <w:b w:val="0"/>
          <w:i w:val="0"/>
          <w:color w:val="auto"/>
        </w:rPr>
        <w:t xml:space="preserve">UNDP reporting guidelines the project will share with donors and other </w:t>
      </w:r>
      <w:proofErr w:type="gramStart"/>
      <w:r w:rsidRPr="00D77F82">
        <w:rPr>
          <w:rStyle w:val="IntenseEmphasis"/>
          <w:b w:val="0"/>
          <w:i w:val="0"/>
          <w:color w:val="auto"/>
        </w:rPr>
        <w:t>stakeholders</w:t>
      </w:r>
      <w:proofErr w:type="gramEnd"/>
      <w:r w:rsidRPr="00D77F82">
        <w:rPr>
          <w:rStyle w:val="IntenseEmphasis"/>
          <w:b w:val="0"/>
          <w:i w:val="0"/>
          <w:color w:val="auto"/>
        </w:rPr>
        <w:t xml:space="preserve"> substantive narrative and financial reports on quarterly and</w:t>
      </w:r>
      <w:r w:rsidR="00D77F82" w:rsidRPr="00D77F82">
        <w:rPr>
          <w:rStyle w:val="IntenseEmphasis"/>
          <w:b w:val="0"/>
          <w:i w:val="0"/>
          <w:color w:val="auto"/>
        </w:rPr>
        <w:t xml:space="preserve"> an</w:t>
      </w:r>
      <w:r w:rsidRPr="00D77F82">
        <w:rPr>
          <w:rStyle w:val="IntenseEmphasis"/>
          <w:b w:val="0"/>
          <w:i w:val="0"/>
          <w:color w:val="auto"/>
        </w:rPr>
        <w:t xml:space="preserve"> </w:t>
      </w:r>
      <w:r w:rsidR="00D77F82" w:rsidRPr="00D77F82">
        <w:rPr>
          <w:rStyle w:val="IntenseEmphasis"/>
          <w:b w:val="0"/>
          <w:i w:val="0"/>
          <w:color w:val="auto"/>
        </w:rPr>
        <w:t>annual basis</w:t>
      </w:r>
      <w:r w:rsidRPr="00D77F82">
        <w:rPr>
          <w:rStyle w:val="IntenseEmphasis"/>
          <w:b w:val="0"/>
          <w:i w:val="0"/>
          <w:color w:val="auto"/>
        </w:rPr>
        <w:t xml:space="preserve">. </w:t>
      </w:r>
      <w:r w:rsidR="00D77F82" w:rsidRPr="00D77F82">
        <w:rPr>
          <w:rStyle w:val="IntenseEmphasis"/>
          <w:b w:val="0"/>
          <w:i w:val="0"/>
          <w:color w:val="auto"/>
        </w:rPr>
        <w:t>Ad hoc or p</w:t>
      </w:r>
      <w:r w:rsidRPr="00D77F82">
        <w:rPr>
          <w:rStyle w:val="IntenseEmphasis"/>
          <w:b w:val="0"/>
          <w:i w:val="0"/>
          <w:color w:val="auto"/>
        </w:rPr>
        <w:t xml:space="preserve">eriodic reports </w:t>
      </w:r>
      <w:r w:rsidR="00D77F82" w:rsidRPr="00D77F82">
        <w:rPr>
          <w:rStyle w:val="IntenseEmphasis"/>
          <w:b w:val="0"/>
          <w:i w:val="0"/>
          <w:color w:val="auto"/>
        </w:rPr>
        <w:t>may nevertheless be</w:t>
      </w:r>
      <w:r w:rsidRPr="00D77F82">
        <w:rPr>
          <w:rStyle w:val="IntenseEmphasis"/>
          <w:b w:val="0"/>
          <w:i w:val="0"/>
          <w:color w:val="auto"/>
        </w:rPr>
        <w:t xml:space="preserve"> produced </w:t>
      </w:r>
      <w:r w:rsidR="00D77F82" w:rsidRPr="00D77F82">
        <w:rPr>
          <w:rStyle w:val="IntenseEmphasis"/>
          <w:b w:val="0"/>
          <w:i w:val="0"/>
          <w:color w:val="auto"/>
        </w:rPr>
        <w:t xml:space="preserve">according to donor requests or other stakeholder interests. </w:t>
      </w:r>
    </w:p>
    <w:p w:rsidR="000B6D45" w:rsidRPr="00882405" w:rsidRDefault="00D85E6F" w:rsidP="002E3425">
      <w:pPr>
        <w:jc w:val="both"/>
        <w:rPr>
          <w:rStyle w:val="IntenseEmphasis"/>
          <w:i w:val="0"/>
        </w:rPr>
      </w:pPr>
      <w:r w:rsidRPr="00882405">
        <w:rPr>
          <w:rStyle w:val="IntenseEmphasis"/>
          <w:i w:val="0"/>
        </w:rPr>
        <w:t>Relevant UNDP</w:t>
      </w:r>
      <w:r w:rsidR="007C501A" w:rsidRPr="00882405">
        <w:rPr>
          <w:rStyle w:val="IntenseEmphasis"/>
          <w:i w:val="0"/>
        </w:rPr>
        <w:t xml:space="preserve"> Capacity</w:t>
      </w:r>
      <w:r w:rsidRPr="00882405">
        <w:rPr>
          <w:rStyle w:val="IntenseEmphasis"/>
          <w:i w:val="0"/>
        </w:rPr>
        <w:t xml:space="preserve"> and Experience</w:t>
      </w:r>
      <w:r w:rsidR="00C47F2C">
        <w:rPr>
          <w:rStyle w:val="IntenseEmphasis"/>
          <w:i w:val="0"/>
        </w:rPr>
        <w:t xml:space="preserve"> </w:t>
      </w:r>
    </w:p>
    <w:p w:rsidR="00474165" w:rsidRPr="00474165" w:rsidRDefault="00474165" w:rsidP="002E3425">
      <w:pPr>
        <w:jc w:val="both"/>
        <w:rPr>
          <w:rFonts w:cstheme="minorHAnsi"/>
          <w:iCs/>
        </w:rPr>
      </w:pPr>
      <w:r w:rsidRPr="00474165">
        <w:rPr>
          <w:rFonts w:cstheme="minorHAnsi"/>
          <w:iCs/>
        </w:rPr>
        <w:t xml:space="preserve">UNDP has been actively engaged in local economic development in Somalia since 1993. Our project team has a combined experience of over 30 years working in Somalia as well as ten other African and Arab countries, some of which have equally challenging economic </w:t>
      </w:r>
      <w:r w:rsidR="002F1A35">
        <w:rPr>
          <w:rFonts w:cstheme="minorHAnsi"/>
          <w:iCs/>
        </w:rPr>
        <w:t xml:space="preserve">and political </w:t>
      </w:r>
      <w:r w:rsidR="006C6308">
        <w:rPr>
          <w:rFonts w:cstheme="minorHAnsi"/>
          <w:iCs/>
        </w:rPr>
        <w:t>environments</w:t>
      </w:r>
      <w:r w:rsidR="002F1A35">
        <w:rPr>
          <w:rFonts w:cstheme="minorHAnsi"/>
          <w:iCs/>
        </w:rPr>
        <w:t>.  UNDP local economic d</w:t>
      </w:r>
      <w:r w:rsidRPr="00474165">
        <w:rPr>
          <w:rFonts w:cstheme="minorHAnsi"/>
          <w:iCs/>
        </w:rPr>
        <w:t xml:space="preserve">evelopment activities in Somalia for the last five years have ranged from </w:t>
      </w:r>
      <w:r w:rsidR="002F1A35">
        <w:rPr>
          <w:rFonts w:cstheme="minorHAnsi"/>
          <w:iCs/>
        </w:rPr>
        <w:t xml:space="preserve">the </w:t>
      </w:r>
      <w:r w:rsidRPr="00474165">
        <w:rPr>
          <w:rFonts w:cstheme="minorHAnsi"/>
          <w:iCs/>
        </w:rPr>
        <w:t>provision of short term employment through basic</w:t>
      </w:r>
      <w:r w:rsidR="002F1A35">
        <w:rPr>
          <w:rFonts w:cstheme="minorHAnsi"/>
          <w:iCs/>
        </w:rPr>
        <w:t xml:space="preserve"> infrastructure rehabilitation </w:t>
      </w:r>
      <w:r w:rsidRPr="00474165">
        <w:rPr>
          <w:rFonts w:cstheme="minorHAnsi"/>
          <w:iCs/>
        </w:rPr>
        <w:t>at</w:t>
      </w:r>
      <w:r w:rsidR="00424604">
        <w:rPr>
          <w:rFonts w:cstheme="minorHAnsi"/>
          <w:iCs/>
        </w:rPr>
        <w:t xml:space="preserve"> times of drought and crisis</w:t>
      </w:r>
      <w:r w:rsidRPr="00474165">
        <w:rPr>
          <w:rFonts w:cstheme="minorHAnsi"/>
          <w:iCs/>
        </w:rPr>
        <w:t xml:space="preserve"> to </w:t>
      </w:r>
      <w:r w:rsidR="002F1A35">
        <w:rPr>
          <w:rFonts w:cstheme="minorHAnsi"/>
          <w:iCs/>
        </w:rPr>
        <w:t>the provision of employment</w:t>
      </w:r>
      <w:r w:rsidRPr="00474165">
        <w:rPr>
          <w:rFonts w:cstheme="minorHAnsi"/>
          <w:iCs/>
        </w:rPr>
        <w:t xml:space="preserve"> skills training and startup capital to youth at risk </w:t>
      </w:r>
      <w:r w:rsidR="002F1A35">
        <w:rPr>
          <w:rFonts w:cstheme="minorHAnsi"/>
          <w:iCs/>
        </w:rPr>
        <w:t xml:space="preserve">and </w:t>
      </w:r>
      <w:r w:rsidRPr="00474165">
        <w:rPr>
          <w:rFonts w:cstheme="minorHAnsi"/>
          <w:iCs/>
        </w:rPr>
        <w:t>vulnerabl</w:t>
      </w:r>
      <w:r w:rsidR="00424604">
        <w:rPr>
          <w:rFonts w:cstheme="minorHAnsi"/>
          <w:iCs/>
        </w:rPr>
        <w:t xml:space="preserve">e community members, </w:t>
      </w:r>
      <w:r w:rsidR="002F1A35">
        <w:rPr>
          <w:rFonts w:cstheme="minorHAnsi"/>
          <w:iCs/>
        </w:rPr>
        <w:t xml:space="preserve">especially </w:t>
      </w:r>
      <w:r>
        <w:rPr>
          <w:rFonts w:cstheme="minorHAnsi"/>
          <w:iCs/>
        </w:rPr>
        <w:t>female headed h</w:t>
      </w:r>
      <w:r w:rsidRPr="00474165">
        <w:rPr>
          <w:rFonts w:cstheme="minorHAnsi"/>
          <w:iCs/>
        </w:rPr>
        <w:t xml:space="preserve">ouseholds.  </w:t>
      </w:r>
    </w:p>
    <w:p w:rsidR="00474165" w:rsidRPr="00474165" w:rsidRDefault="00474165" w:rsidP="002E3425">
      <w:pPr>
        <w:jc w:val="both"/>
        <w:rPr>
          <w:rFonts w:cstheme="minorHAnsi"/>
          <w:iCs/>
        </w:rPr>
      </w:pPr>
      <w:r w:rsidRPr="00474165">
        <w:rPr>
          <w:rFonts w:cstheme="minorHAnsi"/>
          <w:iCs/>
        </w:rPr>
        <w:t>Over the period 2008-2013, UNDP inve</w:t>
      </w:r>
      <w:r w:rsidR="002F1A35">
        <w:rPr>
          <w:rFonts w:cstheme="minorHAnsi"/>
          <w:iCs/>
        </w:rPr>
        <w:t>sted US$19.26 Million of donor</w:t>
      </w:r>
      <w:r w:rsidRPr="00474165">
        <w:rPr>
          <w:rFonts w:cstheme="minorHAnsi"/>
          <w:iCs/>
        </w:rPr>
        <w:t xml:space="preserve"> funds on over</w:t>
      </w:r>
      <w:r w:rsidR="00AA4667">
        <w:rPr>
          <w:rFonts w:cstheme="minorHAnsi"/>
          <w:iCs/>
        </w:rPr>
        <w:t xml:space="preserve"> 199 projects in all of Somalia. </w:t>
      </w:r>
      <w:r w:rsidR="006C6308">
        <w:rPr>
          <w:rFonts w:cstheme="minorHAnsi"/>
          <w:iCs/>
        </w:rPr>
        <w:t>The UNDP managed and implemented</w:t>
      </w:r>
      <w:r>
        <w:rPr>
          <w:rFonts w:cstheme="minorHAnsi"/>
          <w:iCs/>
        </w:rPr>
        <w:t xml:space="preserve"> ABER and EGER p</w:t>
      </w:r>
      <w:r w:rsidRPr="00474165">
        <w:rPr>
          <w:rFonts w:cstheme="minorHAnsi"/>
          <w:iCs/>
        </w:rPr>
        <w:t>roject continues to be the</w:t>
      </w:r>
      <w:r>
        <w:rPr>
          <w:rFonts w:cstheme="minorHAnsi"/>
          <w:iCs/>
        </w:rPr>
        <w:t xml:space="preserve"> flagship</w:t>
      </w:r>
      <w:r w:rsidR="002F1A35">
        <w:rPr>
          <w:rFonts w:cstheme="minorHAnsi"/>
          <w:iCs/>
        </w:rPr>
        <w:t xml:space="preserve"> local economic d</w:t>
      </w:r>
      <w:r w:rsidRPr="00474165">
        <w:rPr>
          <w:rFonts w:cstheme="minorHAnsi"/>
          <w:iCs/>
        </w:rPr>
        <w:t xml:space="preserve">evelopment </w:t>
      </w:r>
      <w:r>
        <w:rPr>
          <w:rFonts w:cstheme="minorHAnsi"/>
          <w:iCs/>
        </w:rPr>
        <w:t>project</w:t>
      </w:r>
      <w:r w:rsidRPr="00474165">
        <w:rPr>
          <w:rFonts w:cstheme="minorHAnsi"/>
          <w:iCs/>
        </w:rPr>
        <w:t xml:space="preserve"> </w:t>
      </w:r>
      <w:r w:rsidR="002F1A35">
        <w:rPr>
          <w:rFonts w:cstheme="minorHAnsi"/>
          <w:iCs/>
        </w:rPr>
        <w:t>in Somalia. A recently finalized</w:t>
      </w:r>
      <w:r>
        <w:rPr>
          <w:rFonts w:cstheme="minorHAnsi"/>
          <w:iCs/>
        </w:rPr>
        <w:t xml:space="preserve"> independent e</w:t>
      </w:r>
      <w:r w:rsidRPr="00474165">
        <w:rPr>
          <w:rFonts w:cstheme="minorHAnsi"/>
          <w:iCs/>
        </w:rPr>
        <w:t xml:space="preserve">valuation of the </w:t>
      </w:r>
      <w:r>
        <w:rPr>
          <w:rFonts w:cstheme="minorHAnsi"/>
          <w:iCs/>
        </w:rPr>
        <w:t>project</w:t>
      </w:r>
      <w:r w:rsidRPr="00474165">
        <w:rPr>
          <w:rFonts w:cstheme="minorHAnsi"/>
          <w:iCs/>
        </w:rPr>
        <w:t xml:space="preserve"> commended it for its </w:t>
      </w:r>
      <w:r>
        <w:rPr>
          <w:rFonts w:cstheme="minorHAnsi"/>
          <w:iCs/>
        </w:rPr>
        <w:t>high</w:t>
      </w:r>
      <w:r w:rsidR="002F1A35">
        <w:rPr>
          <w:rFonts w:cstheme="minorHAnsi"/>
          <w:iCs/>
        </w:rPr>
        <w:t xml:space="preserve"> rate of success and </w:t>
      </w:r>
      <w:r>
        <w:rPr>
          <w:rFonts w:cstheme="minorHAnsi"/>
          <w:iCs/>
        </w:rPr>
        <w:t>recommended that the project approach</w:t>
      </w:r>
      <w:r w:rsidRPr="00474165">
        <w:rPr>
          <w:rFonts w:cstheme="minorHAnsi"/>
          <w:iCs/>
        </w:rPr>
        <w:t xml:space="preserve"> be expanded to other areas of the country.  </w:t>
      </w:r>
    </w:p>
    <w:p w:rsidR="00F12765" w:rsidRPr="00882405" w:rsidRDefault="00A842EA" w:rsidP="002E3425">
      <w:pPr>
        <w:spacing w:after="0"/>
        <w:jc w:val="both"/>
        <w:rPr>
          <w:rStyle w:val="IntenseEmphasis"/>
          <w:i w:val="0"/>
        </w:rPr>
      </w:pPr>
      <w:r>
        <w:rPr>
          <w:rStyle w:val="IntenseEmphasis"/>
          <w:i w:val="0"/>
        </w:rPr>
        <w:t>Indicative Timeline and Budget</w:t>
      </w:r>
      <w:r w:rsidR="001A1973">
        <w:rPr>
          <w:rStyle w:val="IntenseEmphasis"/>
          <w:i w:val="0"/>
        </w:rPr>
        <w:t xml:space="preserve"> </w:t>
      </w:r>
    </w:p>
    <w:p w:rsidR="001303C7" w:rsidRPr="00DB6430" w:rsidRDefault="001303C7" w:rsidP="001303C7">
      <w:pPr>
        <w:spacing w:after="0"/>
        <w:rPr>
          <w:rFonts w:cstheme="minorHAnsi"/>
          <w:b/>
          <w:bCs/>
        </w:rPr>
      </w:pPr>
    </w:p>
    <w:tbl>
      <w:tblPr>
        <w:tblStyle w:val="TableGrid"/>
        <w:tblW w:w="9450" w:type="dxa"/>
        <w:tblInd w:w="108" w:type="dxa"/>
        <w:tblLayout w:type="fixed"/>
        <w:tblLook w:val="04A0" w:firstRow="1" w:lastRow="0" w:firstColumn="1" w:lastColumn="0" w:noHBand="0" w:noVBand="1"/>
      </w:tblPr>
      <w:tblGrid>
        <w:gridCol w:w="2801"/>
        <w:gridCol w:w="1273"/>
        <w:gridCol w:w="1218"/>
        <w:gridCol w:w="1107"/>
        <w:gridCol w:w="1071"/>
        <w:gridCol w:w="36"/>
        <w:gridCol w:w="1944"/>
      </w:tblGrid>
      <w:tr w:rsidR="001303C7" w:rsidRPr="00D6125E" w:rsidTr="001303C7">
        <w:trPr>
          <w:trHeight w:val="278"/>
        </w:trPr>
        <w:tc>
          <w:tcPr>
            <w:tcW w:w="2801" w:type="dxa"/>
            <w:vMerge w:val="restart"/>
            <w:shd w:val="clear" w:color="auto" w:fill="C6D9F1" w:themeFill="text2" w:themeFillTint="33"/>
            <w:vAlign w:val="center"/>
          </w:tcPr>
          <w:p w:rsidR="001303C7" w:rsidRPr="001303C7" w:rsidRDefault="001303C7" w:rsidP="001303C7">
            <w:pPr>
              <w:jc w:val="center"/>
              <w:rPr>
                <w:rFonts w:asciiTheme="minorHAnsi" w:eastAsiaTheme="minorHAnsi" w:hAnsiTheme="minorHAnsi" w:cstheme="minorHAnsi"/>
                <w:bCs/>
                <w:sz w:val="22"/>
                <w:szCs w:val="22"/>
                <w:lang w:val="en-US" w:eastAsia="en-US"/>
              </w:rPr>
            </w:pPr>
            <w:r w:rsidRPr="001303C7">
              <w:rPr>
                <w:rFonts w:asciiTheme="minorHAnsi" w:eastAsiaTheme="minorHAnsi" w:hAnsiTheme="minorHAnsi" w:cstheme="minorHAnsi"/>
                <w:bCs/>
                <w:sz w:val="22"/>
                <w:szCs w:val="22"/>
                <w:lang w:val="en-US" w:eastAsia="en-US"/>
              </w:rPr>
              <w:t>Items/Activities</w:t>
            </w:r>
          </w:p>
        </w:tc>
        <w:tc>
          <w:tcPr>
            <w:tcW w:w="1273" w:type="dxa"/>
            <w:vMerge w:val="restart"/>
            <w:shd w:val="clear" w:color="auto" w:fill="C6D9F1" w:themeFill="text2" w:themeFillTint="33"/>
            <w:vAlign w:val="center"/>
          </w:tcPr>
          <w:p w:rsidR="001303C7" w:rsidRPr="001303C7" w:rsidRDefault="001303C7" w:rsidP="001303C7">
            <w:pPr>
              <w:jc w:val="center"/>
              <w:rPr>
                <w:rFonts w:asciiTheme="minorHAnsi" w:hAnsiTheme="minorHAnsi" w:cstheme="minorHAnsi"/>
                <w:bCs/>
                <w:sz w:val="22"/>
                <w:szCs w:val="22"/>
              </w:rPr>
            </w:pPr>
            <w:r w:rsidRPr="001303C7">
              <w:rPr>
                <w:rFonts w:asciiTheme="minorHAnsi" w:eastAsiaTheme="minorHAnsi" w:hAnsiTheme="minorHAnsi" w:cstheme="minorHAnsi"/>
                <w:bCs/>
                <w:sz w:val="22"/>
                <w:szCs w:val="22"/>
                <w:lang w:val="en-US" w:eastAsia="en-US"/>
              </w:rPr>
              <w:t>Indicative Total budget (US$)</w:t>
            </w:r>
          </w:p>
        </w:tc>
        <w:tc>
          <w:tcPr>
            <w:tcW w:w="3396" w:type="dxa"/>
            <w:gridSpan w:val="3"/>
            <w:shd w:val="clear" w:color="auto" w:fill="C6D9F1" w:themeFill="text2" w:themeFillTint="33"/>
            <w:vAlign w:val="center"/>
          </w:tcPr>
          <w:p w:rsidR="001303C7" w:rsidRPr="001303C7" w:rsidRDefault="001303C7" w:rsidP="001303C7">
            <w:pPr>
              <w:jc w:val="center"/>
              <w:rPr>
                <w:rFonts w:asciiTheme="minorHAnsi" w:hAnsiTheme="minorHAnsi" w:cstheme="minorHAnsi"/>
                <w:bCs/>
                <w:sz w:val="22"/>
                <w:szCs w:val="22"/>
              </w:rPr>
            </w:pPr>
            <w:r w:rsidRPr="001303C7">
              <w:rPr>
                <w:rFonts w:asciiTheme="minorHAnsi" w:hAnsiTheme="minorHAnsi" w:cstheme="minorHAnsi"/>
                <w:bCs/>
                <w:sz w:val="22"/>
                <w:szCs w:val="22"/>
              </w:rPr>
              <w:t>Timeline in years*</w:t>
            </w:r>
          </w:p>
        </w:tc>
        <w:tc>
          <w:tcPr>
            <w:tcW w:w="1980" w:type="dxa"/>
            <w:gridSpan w:val="2"/>
            <w:vMerge w:val="restart"/>
            <w:shd w:val="clear" w:color="auto" w:fill="C6D9F1" w:themeFill="text2" w:themeFillTint="33"/>
            <w:vAlign w:val="center"/>
          </w:tcPr>
          <w:p w:rsidR="001303C7" w:rsidRPr="001303C7" w:rsidRDefault="001303C7" w:rsidP="001303C7">
            <w:pPr>
              <w:jc w:val="center"/>
              <w:rPr>
                <w:rFonts w:asciiTheme="minorHAnsi" w:eastAsiaTheme="minorHAnsi" w:hAnsiTheme="minorHAnsi" w:cstheme="minorHAnsi"/>
                <w:bCs/>
                <w:sz w:val="22"/>
                <w:szCs w:val="22"/>
                <w:lang w:val="en-US" w:eastAsia="en-US"/>
              </w:rPr>
            </w:pPr>
            <w:r w:rsidRPr="001303C7">
              <w:rPr>
                <w:rFonts w:asciiTheme="minorHAnsi" w:eastAsiaTheme="minorHAnsi" w:hAnsiTheme="minorHAnsi" w:cstheme="minorHAnsi"/>
                <w:bCs/>
                <w:sz w:val="22"/>
                <w:szCs w:val="22"/>
                <w:lang w:val="en-US" w:eastAsia="en-US"/>
              </w:rPr>
              <w:t>Potential partners /</w:t>
            </w:r>
            <w:r w:rsidR="00424604">
              <w:rPr>
                <w:rFonts w:asciiTheme="minorHAnsi" w:eastAsiaTheme="minorHAnsi" w:hAnsiTheme="minorHAnsi" w:cstheme="minorHAnsi"/>
                <w:bCs/>
                <w:sz w:val="22"/>
                <w:szCs w:val="22"/>
                <w:lang w:val="en-US" w:eastAsia="en-US"/>
              </w:rPr>
              <w:t xml:space="preserve"> </w:t>
            </w:r>
            <w:r w:rsidRPr="001303C7">
              <w:rPr>
                <w:rFonts w:asciiTheme="minorHAnsi" w:eastAsiaTheme="minorHAnsi" w:hAnsiTheme="minorHAnsi" w:cstheme="minorHAnsi"/>
                <w:bCs/>
                <w:sz w:val="22"/>
                <w:szCs w:val="22"/>
                <w:lang w:val="en-US" w:eastAsia="en-US"/>
              </w:rPr>
              <w:t>synergies</w:t>
            </w:r>
          </w:p>
        </w:tc>
      </w:tr>
      <w:tr w:rsidR="001303C7" w:rsidRPr="00D6125E" w:rsidTr="001303C7">
        <w:trPr>
          <w:trHeight w:val="277"/>
        </w:trPr>
        <w:tc>
          <w:tcPr>
            <w:tcW w:w="2801" w:type="dxa"/>
            <w:vMerge/>
            <w:shd w:val="clear" w:color="auto" w:fill="C6D9F1" w:themeFill="text2" w:themeFillTint="33"/>
          </w:tcPr>
          <w:p w:rsidR="001303C7" w:rsidRPr="00DB6430" w:rsidRDefault="001303C7" w:rsidP="001303C7">
            <w:pPr>
              <w:rPr>
                <w:rFonts w:asciiTheme="minorHAnsi" w:hAnsiTheme="minorHAnsi" w:cstheme="minorHAnsi"/>
                <w:b/>
                <w:bCs/>
                <w:sz w:val="22"/>
                <w:szCs w:val="22"/>
              </w:rPr>
            </w:pPr>
          </w:p>
        </w:tc>
        <w:tc>
          <w:tcPr>
            <w:tcW w:w="1273" w:type="dxa"/>
            <w:vMerge/>
            <w:shd w:val="clear" w:color="auto" w:fill="C6D9F1" w:themeFill="text2" w:themeFillTint="33"/>
          </w:tcPr>
          <w:p w:rsidR="001303C7" w:rsidRPr="00DB6430" w:rsidRDefault="001303C7" w:rsidP="001303C7">
            <w:pPr>
              <w:jc w:val="center"/>
              <w:rPr>
                <w:rFonts w:asciiTheme="minorHAnsi" w:hAnsiTheme="minorHAnsi" w:cstheme="minorHAnsi"/>
                <w:b/>
                <w:bCs/>
                <w:sz w:val="22"/>
                <w:szCs w:val="22"/>
              </w:rPr>
            </w:pPr>
          </w:p>
        </w:tc>
        <w:tc>
          <w:tcPr>
            <w:tcW w:w="1218" w:type="dxa"/>
            <w:shd w:val="clear" w:color="auto" w:fill="C6D9F1" w:themeFill="text2" w:themeFillTint="33"/>
          </w:tcPr>
          <w:p w:rsidR="001303C7" w:rsidRPr="001303C7" w:rsidRDefault="001303C7" w:rsidP="001303C7">
            <w:pPr>
              <w:rPr>
                <w:rFonts w:asciiTheme="minorHAnsi" w:hAnsiTheme="minorHAnsi" w:cstheme="minorHAnsi"/>
                <w:bCs/>
                <w:sz w:val="22"/>
                <w:szCs w:val="22"/>
              </w:rPr>
            </w:pPr>
            <w:r w:rsidRPr="001303C7">
              <w:rPr>
                <w:rFonts w:asciiTheme="minorHAnsi" w:hAnsiTheme="minorHAnsi" w:cstheme="minorHAnsi"/>
                <w:bCs/>
                <w:sz w:val="22"/>
                <w:szCs w:val="22"/>
              </w:rPr>
              <w:t>Y1</w:t>
            </w:r>
          </w:p>
        </w:tc>
        <w:tc>
          <w:tcPr>
            <w:tcW w:w="1107" w:type="dxa"/>
            <w:shd w:val="clear" w:color="auto" w:fill="C6D9F1" w:themeFill="text2" w:themeFillTint="33"/>
          </w:tcPr>
          <w:p w:rsidR="001303C7" w:rsidRPr="001303C7" w:rsidRDefault="001303C7" w:rsidP="001303C7">
            <w:pPr>
              <w:rPr>
                <w:rFonts w:asciiTheme="minorHAnsi" w:hAnsiTheme="minorHAnsi" w:cstheme="minorHAnsi"/>
                <w:bCs/>
                <w:sz w:val="22"/>
                <w:szCs w:val="22"/>
              </w:rPr>
            </w:pPr>
            <w:r w:rsidRPr="001303C7">
              <w:rPr>
                <w:rFonts w:asciiTheme="minorHAnsi" w:hAnsiTheme="minorHAnsi" w:cstheme="minorHAnsi"/>
                <w:bCs/>
                <w:sz w:val="22"/>
                <w:szCs w:val="22"/>
              </w:rPr>
              <w:t>Y2</w:t>
            </w:r>
          </w:p>
        </w:tc>
        <w:tc>
          <w:tcPr>
            <w:tcW w:w="1071" w:type="dxa"/>
            <w:shd w:val="clear" w:color="auto" w:fill="C6D9F1" w:themeFill="text2" w:themeFillTint="33"/>
          </w:tcPr>
          <w:p w:rsidR="001303C7" w:rsidRPr="001303C7" w:rsidRDefault="001303C7" w:rsidP="001303C7">
            <w:pPr>
              <w:rPr>
                <w:rFonts w:asciiTheme="minorHAnsi" w:hAnsiTheme="minorHAnsi" w:cstheme="minorHAnsi"/>
                <w:bCs/>
                <w:sz w:val="22"/>
                <w:szCs w:val="22"/>
              </w:rPr>
            </w:pPr>
            <w:r w:rsidRPr="001303C7">
              <w:rPr>
                <w:rFonts w:asciiTheme="minorHAnsi" w:hAnsiTheme="minorHAnsi" w:cstheme="minorHAnsi"/>
                <w:bCs/>
                <w:sz w:val="22"/>
                <w:szCs w:val="22"/>
              </w:rPr>
              <w:t>Y3</w:t>
            </w:r>
          </w:p>
        </w:tc>
        <w:tc>
          <w:tcPr>
            <w:tcW w:w="1980" w:type="dxa"/>
            <w:gridSpan w:val="2"/>
            <w:vMerge/>
            <w:shd w:val="clear" w:color="auto" w:fill="C6D9F1" w:themeFill="text2" w:themeFillTint="33"/>
          </w:tcPr>
          <w:p w:rsidR="001303C7" w:rsidRPr="00DB6430" w:rsidRDefault="001303C7" w:rsidP="001303C7">
            <w:pPr>
              <w:rPr>
                <w:rFonts w:asciiTheme="minorHAnsi" w:hAnsiTheme="minorHAnsi" w:cstheme="minorHAnsi"/>
                <w:b/>
                <w:bCs/>
                <w:sz w:val="22"/>
                <w:szCs w:val="22"/>
              </w:rPr>
            </w:pPr>
          </w:p>
        </w:tc>
      </w:tr>
      <w:tr w:rsidR="001303C7" w:rsidRPr="00D6125E" w:rsidTr="001303C7">
        <w:tc>
          <w:tcPr>
            <w:tcW w:w="2801" w:type="dxa"/>
            <w:shd w:val="clear" w:color="auto" w:fill="auto"/>
          </w:tcPr>
          <w:p w:rsidR="001303C7" w:rsidRPr="001303C7" w:rsidRDefault="00424604" w:rsidP="001303C7">
            <w:pPr>
              <w:rPr>
                <w:rFonts w:asciiTheme="minorHAnsi" w:hAnsiTheme="minorHAnsi" w:cstheme="minorHAnsi"/>
                <w:bCs/>
                <w:sz w:val="22"/>
                <w:szCs w:val="22"/>
              </w:rPr>
            </w:pPr>
            <w:r>
              <w:rPr>
                <w:rFonts w:asciiTheme="minorHAnsi" w:hAnsiTheme="minorHAnsi" w:cstheme="minorHAnsi"/>
                <w:bCs/>
                <w:sz w:val="22"/>
                <w:szCs w:val="22"/>
              </w:rPr>
              <w:t>A</w:t>
            </w:r>
            <w:r w:rsidR="001303C7" w:rsidRPr="001303C7">
              <w:rPr>
                <w:rFonts w:asciiTheme="minorHAnsi" w:hAnsiTheme="minorHAnsi" w:cstheme="minorHAnsi"/>
                <w:bCs/>
                <w:sz w:val="22"/>
                <w:szCs w:val="22"/>
              </w:rPr>
              <w:t>) Indirect project costs</w:t>
            </w:r>
          </w:p>
        </w:tc>
        <w:tc>
          <w:tcPr>
            <w:tcW w:w="1273" w:type="dxa"/>
            <w:shd w:val="clear" w:color="auto" w:fill="auto"/>
            <w:vAlign w:val="center"/>
          </w:tcPr>
          <w:p w:rsidR="001303C7" w:rsidRPr="001303C7" w:rsidRDefault="001303C7" w:rsidP="001303C7">
            <w:pPr>
              <w:jc w:val="right"/>
              <w:rPr>
                <w:rFonts w:asciiTheme="minorHAnsi" w:hAnsiTheme="minorHAnsi" w:cstheme="minorHAnsi"/>
                <w:bCs/>
                <w:sz w:val="22"/>
                <w:szCs w:val="22"/>
              </w:rPr>
            </w:pPr>
            <w:r w:rsidRPr="001303C7">
              <w:rPr>
                <w:rFonts w:asciiTheme="minorHAnsi" w:hAnsiTheme="minorHAnsi" w:cstheme="minorHAnsi"/>
                <w:bCs/>
                <w:sz w:val="22"/>
                <w:szCs w:val="22"/>
              </w:rPr>
              <w:t>2,500,000</w:t>
            </w:r>
          </w:p>
        </w:tc>
        <w:tc>
          <w:tcPr>
            <w:tcW w:w="1218" w:type="dxa"/>
            <w:shd w:val="clear" w:color="auto" w:fill="auto"/>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1,250,000 </w:t>
            </w:r>
          </w:p>
        </w:tc>
        <w:tc>
          <w:tcPr>
            <w:tcW w:w="1107" w:type="dxa"/>
            <w:shd w:val="clear" w:color="auto" w:fill="auto"/>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750,000 </w:t>
            </w:r>
          </w:p>
        </w:tc>
        <w:tc>
          <w:tcPr>
            <w:tcW w:w="1071" w:type="dxa"/>
            <w:shd w:val="clear" w:color="auto" w:fill="auto"/>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500,000 </w:t>
            </w:r>
          </w:p>
        </w:tc>
        <w:tc>
          <w:tcPr>
            <w:tcW w:w="1980" w:type="dxa"/>
            <w:gridSpan w:val="2"/>
            <w:shd w:val="clear" w:color="auto" w:fill="auto"/>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Security, general management and implementation support services</w:t>
            </w:r>
          </w:p>
        </w:tc>
      </w:tr>
      <w:tr w:rsidR="001303C7" w:rsidRPr="00D6125E" w:rsidTr="001303C7">
        <w:tc>
          <w:tcPr>
            <w:tcW w:w="9450" w:type="dxa"/>
            <w:gridSpan w:val="7"/>
            <w:shd w:val="clear" w:color="auto" w:fill="auto"/>
          </w:tcPr>
          <w:p w:rsidR="001303C7" w:rsidRPr="001303C7" w:rsidRDefault="00424604" w:rsidP="001303C7">
            <w:pPr>
              <w:rPr>
                <w:rFonts w:asciiTheme="minorHAnsi" w:hAnsiTheme="minorHAnsi" w:cstheme="minorHAnsi"/>
                <w:bCs/>
                <w:sz w:val="22"/>
                <w:szCs w:val="22"/>
              </w:rPr>
            </w:pPr>
            <w:r>
              <w:rPr>
                <w:rFonts w:asciiTheme="minorHAnsi" w:hAnsiTheme="minorHAnsi" w:cstheme="minorHAnsi"/>
                <w:bCs/>
                <w:sz w:val="22"/>
                <w:szCs w:val="22"/>
              </w:rPr>
              <w:lastRenderedPageBreak/>
              <w:t>B</w:t>
            </w:r>
            <w:r w:rsidR="001303C7" w:rsidRPr="001303C7">
              <w:rPr>
                <w:rFonts w:asciiTheme="minorHAnsi" w:hAnsiTheme="minorHAnsi" w:cstheme="minorHAnsi"/>
                <w:bCs/>
                <w:sz w:val="22"/>
                <w:szCs w:val="22"/>
              </w:rPr>
              <w:t>) Direct project activities estimate costs</w:t>
            </w:r>
          </w:p>
        </w:tc>
      </w:tr>
      <w:tr w:rsidR="001303C7" w:rsidRPr="00D6125E" w:rsidTr="001303C7">
        <w:tc>
          <w:tcPr>
            <w:tcW w:w="2801" w:type="dxa"/>
            <w:shd w:val="clear" w:color="auto" w:fill="auto"/>
          </w:tcPr>
          <w:p w:rsidR="001303C7" w:rsidRPr="001303C7" w:rsidRDefault="001303C7" w:rsidP="001303C7">
            <w:pPr>
              <w:rPr>
                <w:rFonts w:asciiTheme="minorHAnsi" w:hAnsiTheme="minorHAnsi" w:cstheme="minorHAnsi"/>
                <w:bCs/>
                <w:sz w:val="22"/>
                <w:szCs w:val="22"/>
              </w:rPr>
            </w:pPr>
            <w:r w:rsidRPr="001303C7">
              <w:rPr>
                <w:rFonts w:asciiTheme="minorHAnsi" w:hAnsiTheme="minorHAnsi" w:cstheme="minorHAnsi"/>
                <w:bCs/>
                <w:sz w:val="22"/>
                <w:szCs w:val="22"/>
              </w:rPr>
              <w:t>Personnel estimated costs</w:t>
            </w:r>
          </w:p>
        </w:tc>
        <w:tc>
          <w:tcPr>
            <w:tcW w:w="1273" w:type="dxa"/>
            <w:shd w:val="clear" w:color="auto" w:fill="auto"/>
            <w:vAlign w:val="center"/>
          </w:tcPr>
          <w:p w:rsidR="001303C7" w:rsidRPr="001303C7" w:rsidRDefault="001303C7" w:rsidP="001303C7">
            <w:pPr>
              <w:jc w:val="right"/>
              <w:rPr>
                <w:rFonts w:asciiTheme="minorHAnsi" w:hAnsiTheme="minorHAnsi" w:cstheme="minorHAnsi"/>
                <w:bCs/>
                <w:sz w:val="22"/>
                <w:szCs w:val="22"/>
              </w:rPr>
            </w:pPr>
            <w:r w:rsidRPr="001303C7">
              <w:rPr>
                <w:rFonts w:asciiTheme="minorHAnsi" w:hAnsiTheme="minorHAnsi" w:cstheme="minorHAnsi"/>
                <w:bCs/>
                <w:sz w:val="22"/>
                <w:szCs w:val="22"/>
              </w:rPr>
              <w:t>3,150,000</w:t>
            </w:r>
          </w:p>
        </w:tc>
        <w:tc>
          <w:tcPr>
            <w:tcW w:w="1218" w:type="dxa"/>
            <w:shd w:val="clear" w:color="auto" w:fill="auto"/>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1,575,000 </w:t>
            </w:r>
          </w:p>
        </w:tc>
        <w:tc>
          <w:tcPr>
            <w:tcW w:w="1107" w:type="dxa"/>
            <w:shd w:val="clear" w:color="auto" w:fill="auto"/>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945,000 </w:t>
            </w:r>
          </w:p>
        </w:tc>
        <w:tc>
          <w:tcPr>
            <w:tcW w:w="1107" w:type="dxa"/>
            <w:gridSpan w:val="2"/>
            <w:shd w:val="clear" w:color="auto" w:fill="auto"/>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630,000 </w:t>
            </w:r>
          </w:p>
        </w:tc>
        <w:tc>
          <w:tcPr>
            <w:tcW w:w="1944" w:type="dxa"/>
            <w:shd w:val="clear" w:color="auto" w:fill="auto"/>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Project management personnel (12 staff) 2 int’l and 10 Nationals two in each location and rotating internationals</w:t>
            </w:r>
          </w:p>
        </w:tc>
      </w:tr>
      <w:tr w:rsidR="001303C7" w:rsidRPr="00D6125E" w:rsidTr="001303C7">
        <w:tc>
          <w:tcPr>
            <w:tcW w:w="9450" w:type="dxa"/>
            <w:gridSpan w:val="7"/>
            <w:shd w:val="clear" w:color="auto" w:fill="auto"/>
          </w:tcPr>
          <w:p w:rsidR="001303C7" w:rsidRPr="001303C7" w:rsidRDefault="001303C7" w:rsidP="001303C7">
            <w:pPr>
              <w:rPr>
                <w:rFonts w:asciiTheme="minorHAnsi" w:hAnsiTheme="minorHAnsi" w:cstheme="minorHAnsi"/>
                <w:bCs/>
                <w:sz w:val="22"/>
                <w:szCs w:val="22"/>
              </w:rPr>
            </w:pPr>
            <w:r w:rsidRPr="001303C7">
              <w:rPr>
                <w:rFonts w:asciiTheme="minorHAnsi" w:hAnsiTheme="minorHAnsi" w:cstheme="minorHAnsi"/>
                <w:bCs/>
                <w:sz w:val="22"/>
                <w:szCs w:val="22"/>
              </w:rPr>
              <w:t>2.0 Project Activities indicative costs</w:t>
            </w:r>
          </w:p>
        </w:tc>
      </w:tr>
      <w:tr w:rsidR="001303C7" w:rsidRPr="00D6125E" w:rsidTr="001303C7">
        <w:tc>
          <w:tcPr>
            <w:tcW w:w="2801" w:type="dxa"/>
          </w:tcPr>
          <w:p w:rsidR="001303C7" w:rsidRPr="001303C7" w:rsidRDefault="001303C7" w:rsidP="00DB492E">
            <w:pPr>
              <w:rPr>
                <w:rFonts w:asciiTheme="minorHAnsi" w:hAnsiTheme="minorHAnsi"/>
                <w:sz w:val="22"/>
                <w:szCs w:val="22"/>
              </w:rPr>
            </w:pPr>
            <w:r w:rsidRPr="001303C7">
              <w:rPr>
                <w:rFonts w:asciiTheme="minorHAnsi" w:hAnsiTheme="minorHAnsi"/>
                <w:sz w:val="22"/>
                <w:szCs w:val="22"/>
              </w:rPr>
              <w:t>2.1 Rapid Economic Asses</w:t>
            </w:r>
            <w:r w:rsidR="00DB492E">
              <w:rPr>
                <w:rFonts w:asciiTheme="minorHAnsi" w:hAnsiTheme="minorHAnsi"/>
                <w:sz w:val="22"/>
                <w:szCs w:val="22"/>
              </w:rPr>
              <w:t xml:space="preserve">sments </w:t>
            </w:r>
          </w:p>
        </w:tc>
        <w:tc>
          <w:tcPr>
            <w:tcW w:w="1273" w:type="dxa"/>
            <w:vAlign w:val="center"/>
          </w:tcPr>
          <w:p w:rsidR="001303C7" w:rsidRPr="00DB492E" w:rsidRDefault="001303C7" w:rsidP="001303C7">
            <w:pPr>
              <w:jc w:val="right"/>
              <w:rPr>
                <w:rFonts w:asciiTheme="minorHAnsi" w:hAnsiTheme="minorHAnsi" w:cstheme="minorHAnsi"/>
                <w:bCs/>
                <w:sz w:val="22"/>
                <w:szCs w:val="22"/>
              </w:rPr>
            </w:pPr>
            <w:r w:rsidRPr="00DB492E">
              <w:rPr>
                <w:rFonts w:asciiTheme="minorHAnsi" w:hAnsiTheme="minorHAnsi" w:cstheme="minorHAnsi"/>
                <w:bCs/>
                <w:sz w:val="22"/>
                <w:szCs w:val="22"/>
              </w:rPr>
              <w:t>300,000</w:t>
            </w:r>
          </w:p>
        </w:tc>
        <w:tc>
          <w:tcPr>
            <w:tcW w:w="1218"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150,000 </w:t>
            </w:r>
          </w:p>
        </w:tc>
        <w:tc>
          <w:tcPr>
            <w:tcW w:w="1107"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90,000 </w:t>
            </w:r>
          </w:p>
        </w:tc>
        <w:tc>
          <w:tcPr>
            <w:tcW w:w="1107" w:type="dxa"/>
            <w:gridSpan w:val="2"/>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60,000 </w:t>
            </w:r>
          </w:p>
        </w:tc>
        <w:tc>
          <w:tcPr>
            <w:tcW w:w="1944" w:type="dxa"/>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In collaboration and synergies with Authorities, NGOs, communities and UN agencies ( JPLG, ILO,  and other line agencies)</w:t>
            </w:r>
          </w:p>
        </w:tc>
      </w:tr>
      <w:tr w:rsidR="001303C7" w:rsidRPr="00D6125E" w:rsidTr="001303C7">
        <w:tc>
          <w:tcPr>
            <w:tcW w:w="2801" w:type="dxa"/>
          </w:tcPr>
          <w:p w:rsidR="001303C7" w:rsidRPr="001303C7" w:rsidRDefault="001303C7" w:rsidP="001303C7">
            <w:pPr>
              <w:rPr>
                <w:rFonts w:asciiTheme="minorHAnsi" w:hAnsiTheme="minorHAnsi"/>
                <w:sz w:val="22"/>
                <w:szCs w:val="22"/>
              </w:rPr>
            </w:pPr>
            <w:r w:rsidRPr="001303C7">
              <w:rPr>
                <w:rFonts w:asciiTheme="minorHAnsi" w:hAnsiTheme="minorHAnsi"/>
                <w:sz w:val="22"/>
                <w:szCs w:val="22"/>
              </w:rPr>
              <w:t xml:space="preserve">2.2 Led Strategy Development </w:t>
            </w:r>
          </w:p>
        </w:tc>
        <w:tc>
          <w:tcPr>
            <w:tcW w:w="1273" w:type="dxa"/>
            <w:vAlign w:val="center"/>
          </w:tcPr>
          <w:p w:rsidR="001303C7" w:rsidRPr="00DB492E" w:rsidRDefault="001303C7" w:rsidP="001303C7">
            <w:pPr>
              <w:jc w:val="right"/>
              <w:rPr>
                <w:rFonts w:asciiTheme="minorHAnsi" w:hAnsiTheme="minorHAnsi" w:cstheme="minorHAnsi"/>
                <w:bCs/>
                <w:sz w:val="22"/>
                <w:szCs w:val="22"/>
              </w:rPr>
            </w:pPr>
            <w:r w:rsidRPr="00DB492E">
              <w:rPr>
                <w:rFonts w:asciiTheme="minorHAnsi" w:hAnsiTheme="minorHAnsi" w:cstheme="minorHAnsi"/>
                <w:bCs/>
                <w:sz w:val="22"/>
                <w:szCs w:val="22"/>
              </w:rPr>
              <w:t>400,000</w:t>
            </w:r>
          </w:p>
        </w:tc>
        <w:tc>
          <w:tcPr>
            <w:tcW w:w="1218"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200,000 </w:t>
            </w:r>
          </w:p>
        </w:tc>
        <w:tc>
          <w:tcPr>
            <w:tcW w:w="1107"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120,000 </w:t>
            </w:r>
          </w:p>
        </w:tc>
        <w:tc>
          <w:tcPr>
            <w:tcW w:w="1107" w:type="dxa"/>
            <w:gridSpan w:val="2"/>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80,000 </w:t>
            </w:r>
          </w:p>
        </w:tc>
        <w:tc>
          <w:tcPr>
            <w:tcW w:w="1944" w:type="dxa"/>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JPLG, Municipalities, NGOs, UN agencies</w:t>
            </w:r>
          </w:p>
        </w:tc>
      </w:tr>
      <w:tr w:rsidR="001303C7" w:rsidRPr="00D6125E" w:rsidTr="001303C7">
        <w:tc>
          <w:tcPr>
            <w:tcW w:w="2801" w:type="dxa"/>
          </w:tcPr>
          <w:p w:rsidR="001303C7" w:rsidRPr="001303C7" w:rsidRDefault="001303C7" w:rsidP="001303C7">
            <w:pPr>
              <w:rPr>
                <w:rFonts w:asciiTheme="minorHAnsi" w:hAnsiTheme="minorHAnsi"/>
                <w:sz w:val="22"/>
                <w:szCs w:val="22"/>
              </w:rPr>
            </w:pPr>
            <w:r w:rsidRPr="001303C7">
              <w:rPr>
                <w:rFonts w:asciiTheme="minorHAnsi" w:hAnsiTheme="minorHAnsi"/>
                <w:sz w:val="22"/>
                <w:szCs w:val="22"/>
              </w:rPr>
              <w:t xml:space="preserve">2.3 Financing and technical support for small infrastructure projects </w:t>
            </w:r>
          </w:p>
        </w:tc>
        <w:tc>
          <w:tcPr>
            <w:tcW w:w="1273" w:type="dxa"/>
            <w:vAlign w:val="center"/>
          </w:tcPr>
          <w:p w:rsidR="001303C7" w:rsidRPr="00DB492E" w:rsidRDefault="001303C7" w:rsidP="001303C7">
            <w:pPr>
              <w:jc w:val="right"/>
              <w:rPr>
                <w:rFonts w:asciiTheme="minorHAnsi" w:hAnsiTheme="minorHAnsi" w:cstheme="minorHAnsi"/>
                <w:bCs/>
                <w:sz w:val="22"/>
                <w:szCs w:val="22"/>
              </w:rPr>
            </w:pPr>
            <w:r w:rsidRPr="00DB492E">
              <w:rPr>
                <w:rFonts w:asciiTheme="minorHAnsi" w:hAnsiTheme="minorHAnsi" w:cstheme="minorHAnsi"/>
                <w:bCs/>
                <w:sz w:val="22"/>
                <w:szCs w:val="22"/>
              </w:rPr>
              <w:t>7,000,000</w:t>
            </w:r>
          </w:p>
        </w:tc>
        <w:tc>
          <w:tcPr>
            <w:tcW w:w="1218"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3,500,000 </w:t>
            </w:r>
          </w:p>
        </w:tc>
        <w:tc>
          <w:tcPr>
            <w:tcW w:w="1107"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2,100,000 </w:t>
            </w:r>
          </w:p>
        </w:tc>
        <w:tc>
          <w:tcPr>
            <w:tcW w:w="1107" w:type="dxa"/>
            <w:gridSpan w:val="2"/>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1,400,000 </w:t>
            </w:r>
          </w:p>
        </w:tc>
        <w:tc>
          <w:tcPr>
            <w:tcW w:w="1944" w:type="dxa"/>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Municipalities, NGOs, UN agencies</w:t>
            </w:r>
          </w:p>
        </w:tc>
      </w:tr>
      <w:tr w:rsidR="001303C7" w:rsidRPr="00D6125E" w:rsidTr="001303C7">
        <w:tc>
          <w:tcPr>
            <w:tcW w:w="2801" w:type="dxa"/>
          </w:tcPr>
          <w:p w:rsidR="001303C7" w:rsidRPr="001303C7" w:rsidRDefault="001303C7" w:rsidP="001303C7">
            <w:pPr>
              <w:rPr>
                <w:rFonts w:asciiTheme="minorHAnsi" w:hAnsiTheme="minorHAnsi"/>
                <w:sz w:val="22"/>
                <w:szCs w:val="22"/>
              </w:rPr>
            </w:pPr>
            <w:r w:rsidRPr="001303C7">
              <w:rPr>
                <w:rFonts w:asciiTheme="minorHAnsi" w:hAnsiTheme="minorHAnsi"/>
                <w:sz w:val="22"/>
                <w:szCs w:val="22"/>
              </w:rPr>
              <w:t xml:space="preserve">2.4 Business Environment Reform </w:t>
            </w:r>
          </w:p>
        </w:tc>
        <w:tc>
          <w:tcPr>
            <w:tcW w:w="1273" w:type="dxa"/>
            <w:vAlign w:val="center"/>
          </w:tcPr>
          <w:p w:rsidR="001303C7" w:rsidRPr="00DB492E" w:rsidRDefault="001303C7" w:rsidP="001303C7">
            <w:pPr>
              <w:jc w:val="right"/>
              <w:rPr>
                <w:rFonts w:asciiTheme="minorHAnsi" w:hAnsiTheme="minorHAnsi" w:cstheme="minorHAnsi"/>
                <w:bCs/>
                <w:sz w:val="22"/>
                <w:szCs w:val="22"/>
              </w:rPr>
            </w:pPr>
            <w:r w:rsidRPr="00DB492E">
              <w:rPr>
                <w:rFonts w:asciiTheme="minorHAnsi" w:hAnsiTheme="minorHAnsi" w:cstheme="minorHAnsi"/>
                <w:bCs/>
                <w:sz w:val="22"/>
                <w:szCs w:val="22"/>
              </w:rPr>
              <w:t>500,000</w:t>
            </w:r>
          </w:p>
        </w:tc>
        <w:tc>
          <w:tcPr>
            <w:tcW w:w="1218"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250,000 </w:t>
            </w:r>
          </w:p>
        </w:tc>
        <w:tc>
          <w:tcPr>
            <w:tcW w:w="1107"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150,000 </w:t>
            </w:r>
          </w:p>
        </w:tc>
        <w:tc>
          <w:tcPr>
            <w:tcW w:w="1107" w:type="dxa"/>
            <w:gridSpan w:val="2"/>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100,000 </w:t>
            </w:r>
          </w:p>
        </w:tc>
        <w:tc>
          <w:tcPr>
            <w:tcW w:w="1944" w:type="dxa"/>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 xml:space="preserve">Government, municipalities, states, NGOs </w:t>
            </w:r>
          </w:p>
        </w:tc>
      </w:tr>
      <w:tr w:rsidR="001303C7" w:rsidRPr="00D6125E" w:rsidTr="001303C7">
        <w:tc>
          <w:tcPr>
            <w:tcW w:w="2801" w:type="dxa"/>
          </w:tcPr>
          <w:p w:rsidR="001303C7" w:rsidRPr="001303C7" w:rsidRDefault="001303C7" w:rsidP="001303C7">
            <w:pPr>
              <w:rPr>
                <w:rFonts w:asciiTheme="minorHAnsi" w:hAnsiTheme="minorHAnsi"/>
                <w:sz w:val="22"/>
                <w:szCs w:val="22"/>
              </w:rPr>
            </w:pPr>
            <w:r w:rsidRPr="001303C7">
              <w:rPr>
                <w:rFonts w:asciiTheme="minorHAnsi" w:hAnsiTheme="minorHAnsi"/>
                <w:sz w:val="22"/>
                <w:szCs w:val="22"/>
              </w:rPr>
              <w:t xml:space="preserve">2.5 Business Development Services / Support for SME development </w:t>
            </w:r>
          </w:p>
        </w:tc>
        <w:tc>
          <w:tcPr>
            <w:tcW w:w="1273" w:type="dxa"/>
            <w:vAlign w:val="center"/>
          </w:tcPr>
          <w:p w:rsidR="001303C7" w:rsidRPr="00DB492E" w:rsidRDefault="001303C7" w:rsidP="001303C7">
            <w:pPr>
              <w:jc w:val="right"/>
              <w:rPr>
                <w:rFonts w:asciiTheme="minorHAnsi" w:hAnsiTheme="minorHAnsi" w:cstheme="minorHAnsi"/>
                <w:bCs/>
                <w:sz w:val="22"/>
                <w:szCs w:val="22"/>
              </w:rPr>
            </w:pPr>
            <w:r w:rsidRPr="00DB492E">
              <w:rPr>
                <w:rFonts w:asciiTheme="minorHAnsi" w:hAnsiTheme="minorHAnsi" w:cstheme="minorHAnsi"/>
                <w:bCs/>
                <w:sz w:val="22"/>
                <w:szCs w:val="22"/>
              </w:rPr>
              <w:t>500,000</w:t>
            </w:r>
          </w:p>
        </w:tc>
        <w:tc>
          <w:tcPr>
            <w:tcW w:w="1218"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250,000 </w:t>
            </w:r>
          </w:p>
        </w:tc>
        <w:tc>
          <w:tcPr>
            <w:tcW w:w="1107"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150,000 </w:t>
            </w:r>
          </w:p>
        </w:tc>
        <w:tc>
          <w:tcPr>
            <w:tcW w:w="1107" w:type="dxa"/>
            <w:gridSpan w:val="2"/>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100,000 </w:t>
            </w:r>
          </w:p>
        </w:tc>
        <w:tc>
          <w:tcPr>
            <w:tcW w:w="1944" w:type="dxa"/>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Chambers, academia and research institutions financial institutions</w:t>
            </w:r>
          </w:p>
        </w:tc>
      </w:tr>
      <w:tr w:rsidR="001303C7" w:rsidRPr="00D6125E" w:rsidTr="001303C7">
        <w:tc>
          <w:tcPr>
            <w:tcW w:w="2801" w:type="dxa"/>
          </w:tcPr>
          <w:p w:rsidR="001303C7" w:rsidRPr="001303C7" w:rsidRDefault="001303C7" w:rsidP="001303C7">
            <w:pPr>
              <w:rPr>
                <w:rFonts w:asciiTheme="minorHAnsi" w:hAnsiTheme="minorHAnsi"/>
                <w:sz w:val="22"/>
                <w:szCs w:val="22"/>
              </w:rPr>
            </w:pPr>
            <w:r w:rsidRPr="001303C7">
              <w:rPr>
                <w:rFonts w:asciiTheme="minorHAnsi" w:hAnsiTheme="minorHAnsi"/>
                <w:sz w:val="22"/>
                <w:szCs w:val="22"/>
              </w:rPr>
              <w:t xml:space="preserve">2.6 Support for Cooperative and Social Enterprises </w:t>
            </w:r>
          </w:p>
        </w:tc>
        <w:tc>
          <w:tcPr>
            <w:tcW w:w="1273" w:type="dxa"/>
            <w:vAlign w:val="center"/>
          </w:tcPr>
          <w:p w:rsidR="001303C7" w:rsidRPr="00DB492E" w:rsidRDefault="001303C7" w:rsidP="001303C7">
            <w:pPr>
              <w:jc w:val="right"/>
              <w:rPr>
                <w:rFonts w:asciiTheme="minorHAnsi" w:hAnsiTheme="minorHAnsi" w:cstheme="minorHAnsi"/>
                <w:bCs/>
                <w:sz w:val="22"/>
                <w:szCs w:val="22"/>
              </w:rPr>
            </w:pPr>
            <w:r w:rsidRPr="00DB492E">
              <w:rPr>
                <w:rFonts w:asciiTheme="minorHAnsi" w:hAnsiTheme="minorHAnsi" w:cstheme="minorHAnsi"/>
                <w:bCs/>
                <w:sz w:val="22"/>
                <w:szCs w:val="22"/>
              </w:rPr>
              <w:t>500,000</w:t>
            </w:r>
          </w:p>
        </w:tc>
        <w:tc>
          <w:tcPr>
            <w:tcW w:w="1218"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250,000 </w:t>
            </w:r>
          </w:p>
        </w:tc>
        <w:tc>
          <w:tcPr>
            <w:tcW w:w="1107"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150,000 </w:t>
            </w:r>
          </w:p>
        </w:tc>
        <w:tc>
          <w:tcPr>
            <w:tcW w:w="1107" w:type="dxa"/>
            <w:gridSpan w:val="2"/>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100,000 </w:t>
            </w:r>
          </w:p>
        </w:tc>
        <w:tc>
          <w:tcPr>
            <w:tcW w:w="1944" w:type="dxa"/>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Line ministries, Chambers, academia and research institutions &amp; financial institutions</w:t>
            </w:r>
          </w:p>
        </w:tc>
      </w:tr>
      <w:tr w:rsidR="001303C7" w:rsidRPr="00D6125E" w:rsidTr="001303C7">
        <w:tc>
          <w:tcPr>
            <w:tcW w:w="2801" w:type="dxa"/>
          </w:tcPr>
          <w:p w:rsidR="001303C7" w:rsidRPr="001303C7" w:rsidRDefault="001303C7" w:rsidP="00DB492E">
            <w:pPr>
              <w:rPr>
                <w:rFonts w:asciiTheme="minorHAnsi" w:hAnsiTheme="minorHAnsi"/>
                <w:sz w:val="22"/>
                <w:szCs w:val="22"/>
              </w:rPr>
            </w:pPr>
            <w:r w:rsidRPr="001303C7">
              <w:rPr>
                <w:rFonts w:asciiTheme="minorHAnsi" w:hAnsiTheme="minorHAnsi"/>
                <w:sz w:val="22"/>
                <w:szCs w:val="22"/>
              </w:rPr>
              <w:t xml:space="preserve">2.7 Support for the provision of local financial services </w:t>
            </w:r>
          </w:p>
        </w:tc>
        <w:tc>
          <w:tcPr>
            <w:tcW w:w="1273" w:type="dxa"/>
            <w:vAlign w:val="center"/>
          </w:tcPr>
          <w:p w:rsidR="001303C7" w:rsidRPr="00DB492E" w:rsidRDefault="001303C7" w:rsidP="001303C7">
            <w:pPr>
              <w:jc w:val="right"/>
              <w:rPr>
                <w:rFonts w:asciiTheme="minorHAnsi" w:hAnsiTheme="minorHAnsi" w:cstheme="minorHAnsi"/>
                <w:bCs/>
                <w:sz w:val="22"/>
                <w:szCs w:val="22"/>
              </w:rPr>
            </w:pPr>
            <w:r w:rsidRPr="00DB492E">
              <w:rPr>
                <w:rFonts w:asciiTheme="minorHAnsi" w:hAnsiTheme="minorHAnsi" w:cstheme="minorHAnsi"/>
                <w:bCs/>
                <w:sz w:val="22"/>
                <w:szCs w:val="22"/>
              </w:rPr>
              <w:t>2,000,000</w:t>
            </w:r>
          </w:p>
        </w:tc>
        <w:tc>
          <w:tcPr>
            <w:tcW w:w="1218"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1,000,000 </w:t>
            </w:r>
          </w:p>
        </w:tc>
        <w:tc>
          <w:tcPr>
            <w:tcW w:w="1107"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600,000 </w:t>
            </w:r>
          </w:p>
        </w:tc>
        <w:tc>
          <w:tcPr>
            <w:tcW w:w="1107" w:type="dxa"/>
            <w:gridSpan w:val="2"/>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400,000 </w:t>
            </w:r>
          </w:p>
        </w:tc>
        <w:tc>
          <w:tcPr>
            <w:tcW w:w="1944" w:type="dxa"/>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Line ministries, Chambers of com., academia and research institutions &amp; financial institutions</w:t>
            </w:r>
          </w:p>
        </w:tc>
      </w:tr>
      <w:tr w:rsidR="001303C7" w:rsidRPr="00D6125E" w:rsidTr="001303C7">
        <w:tc>
          <w:tcPr>
            <w:tcW w:w="2801" w:type="dxa"/>
          </w:tcPr>
          <w:p w:rsidR="001303C7" w:rsidRPr="001303C7" w:rsidRDefault="001303C7" w:rsidP="001303C7">
            <w:pPr>
              <w:rPr>
                <w:rFonts w:asciiTheme="minorHAnsi" w:hAnsiTheme="minorHAnsi"/>
                <w:sz w:val="22"/>
                <w:szCs w:val="22"/>
              </w:rPr>
            </w:pPr>
            <w:r w:rsidRPr="001303C7">
              <w:rPr>
                <w:rFonts w:asciiTheme="minorHAnsi" w:hAnsiTheme="minorHAnsi"/>
                <w:sz w:val="22"/>
                <w:szCs w:val="22"/>
              </w:rPr>
              <w:lastRenderedPageBreak/>
              <w:t>2.8 Value chain development initiatives in growth potential sectors</w:t>
            </w:r>
          </w:p>
        </w:tc>
        <w:tc>
          <w:tcPr>
            <w:tcW w:w="1273" w:type="dxa"/>
            <w:vAlign w:val="center"/>
          </w:tcPr>
          <w:p w:rsidR="001303C7" w:rsidRPr="00DB492E" w:rsidRDefault="001303C7" w:rsidP="001303C7">
            <w:pPr>
              <w:jc w:val="right"/>
              <w:rPr>
                <w:rFonts w:asciiTheme="minorHAnsi" w:hAnsiTheme="minorHAnsi" w:cstheme="minorHAnsi"/>
                <w:bCs/>
                <w:sz w:val="22"/>
                <w:szCs w:val="22"/>
              </w:rPr>
            </w:pPr>
            <w:r w:rsidRPr="00DB492E">
              <w:rPr>
                <w:rFonts w:asciiTheme="minorHAnsi" w:hAnsiTheme="minorHAnsi" w:cstheme="minorHAnsi"/>
                <w:bCs/>
                <w:sz w:val="22"/>
                <w:szCs w:val="22"/>
              </w:rPr>
              <w:t>500,000</w:t>
            </w:r>
          </w:p>
        </w:tc>
        <w:tc>
          <w:tcPr>
            <w:tcW w:w="1218"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250,000 </w:t>
            </w:r>
          </w:p>
        </w:tc>
        <w:tc>
          <w:tcPr>
            <w:tcW w:w="1107"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150,000 </w:t>
            </w:r>
          </w:p>
        </w:tc>
        <w:tc>
          <w:tcPr>
            <w:tcW w:w="1107" w:type="dxa"/>
            <w:gridSpan w:val="2"/>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100,000 </w:t>
            </w:r>
          </w:p>
        </w:tc>
        <w:tc>
          <w:tcPr>
            <w:tcW w:w="1944" w:type="dxa"/>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Chambers, academia and research institution &amp; financial institutions</w:t>
            </w:r>
          </w:p>
        </w:tc>
      </w:tr>
      <w:tr w:rsidR="001303C7" w:rsidRPr="00D6125E" w:rsidTr="001303C7">
        <w:tc>
          <w:tcPr>
            <w:tcW w:w="2801" w:type="dxa"/>
          </w:tcPr>
          <w:p w:rsidR="001303C7" w:rsidRPr="001303C7" w:rsidRDefault="001303C7" w:rsidP="00DB492E">
            <w:pPr>
              <w:rPr>
                <w:rFonts w:asciiTheme="minorHAnsi" w:hAnsiTheme="minorHAnsi"/>
                <w:sz w:val="22"/>
                <w:szCs w:val="22"/>
              </w:rPr>
            </w:pPr>
            <w:r w:rsidRPr="001303C7">
              <w:rPr>
                <w:rFonts w:asciiTheme="minorHAnsi" w:hAnsiTheme="minorHAnsi"/>
                <w:sz w:val="22"/>
                <w:szCs w:val="22"/>
              </w:rPr>
              <w:t xml:space="preserve">2.9 Active Labour Market Policies </w:t>
            </w:r>
          </w:p>
        </w:tc>
        <w:tc>
          <w:tcPr>
            <w:tcW w:w="1273" w:type="dxa"/>
            <w:vAlign w:val="center"/>
          </w:tcPr>
          <w:p w:rsidR="001303C7" w:rsidRPr="00DB492E" w:rsidRDefault="001303C7" w:rsidP="001303C7">
            <w:pPr>
              <w:jc w:val="right"/>
              <w:rPr>
                <w:rFonts w:asciiTheme="minorHAnsi" w:hAnsiTheme="minorHAnsi" w:cstheme="minorHAnsi"/>
                <w:bCs/>
                <w:sz w:val="22"/>
                <w:szCs w:val="22"/>
              </w:rPr>
            </w:pPr>
            <w:r w:rsidRPr="00DB492E">
              <w:rPr>
                <w:rFonts w:asciiTheme="minorHAnsi" w:hAnsiTheme="minorHAnsi" w:cstheme="minorHAnsi"/>
                <w:bCs/>
                <w:sz w:val="22"/>
                <w:szCs w:val="22"/>
              </w:rPr>
              <w:t>500,000</w:t>
            </w:r>
          </w:p>
        </w:tc>
        <w:tc>
          <w:tcPr>
            <w:tcW w:w="1218"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250,000 </w:t>
            </w:r>
          </w:p>
        </w:tc>
        <w:tc>
          <w:tcPr>
            <w:tcW w:w="1107"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150,000 </w:t>
            </w:r>
          </w:p>
        </w:tc>
        <w:tc>
          <w:tcPr>
            <w:tcW w:w="1107" w:type="dxa"/>
            <w:gridSpan w:val="2"/>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100,000 </w:t>
            </w:r>
          </w:p>
        </w:tc>
        <w:tc>
          <w:tcPr>
            <w:tcW w:w="1944" w:type="dxa"/>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Chambers, academia and research institution &amp; financial institutions</w:t>
            </w:r>
          </w:p>
        </w:tc>
      </w:tr>
      <w:tr w:rsidR="001303C7" w:rsidRPr="00D6125E" w:rsidTr="001303C7">
        <w:tc>
          <w:tcPr>
            <w:tcW w:w="2801" w:type="dxa"/>
          </w:tcPr>
          <w:p w:rsidR="001303C7" w:rsidRPr="001303C7" w:rsidRDefault="001303C7" w:rsidP="001303C7">
            <w:pPr>
              <w:rPr>
                <w:rFonts w:asciiTheme="minorHAnsi" w:hAnsiTheme="minorHAnsi"/>
                <w:sz w:val="22"/>
                <w:szCs w:val="22"/>
              </w:rPr>
            </w:pPr>
            <w:r w:rsidRPr="001303C7">
              <w:rPr>
                <w:rFonts w:asciiTheme="minorHAnsi" w:hAnsiTheme="minorHAnsi"/>
                <w:sz w:val="22"/>
                <w:szCs w:val="22"/>
              </w:rPr>
              <w:t xml:space="preserve">2.10 Natural resource management </w:t>
            </w:r>
          </w:p>
        </w:tc>
        <w:tc>
          <w:tcPr>
            <w:tcW w:w="1273" w:type="dxa"/>
            <w:vAlign w:val="center"/>
          </w:tcPr>
          <w:p w:rsidR="001303C7" w:rsidRPr="00DB492E" w:rsidRDefault="001303C7" w:rsidP="001303C7">
            <w:pPr>
              <w:jc w:val="right"/>
              <w:rPr>
                <w:rFonts w:asciiTheme="minorHAnsi" w:hAnsiTheme="minorHAnsi" w:cstheme="minorHAnsi"/>
                <w:bCs/>
                <w:sz w:val="22"/>
                <w:szCs w:val="22"/>
              </w:rPr>
            </w:pPr>
            <w:r w:rsidRPr="00DB492E">
              <w:rPr>
                <w:rFonts w:asciiTheme="minorHAnsi" w:hAnsiTheme="minorHAnsi" w:cstheme="minorHAnsi"/>
                <w:bCs/>
                <w:sz w:val="22"/>
                <w:szCs w:val="22"/>
              </w:rPr>
              <w:t>3,000,000</w:t>
            </w:r>
          </w:p>
        </w:tc>
        <w:tc>
          <w:tcPr>
            <w:tcW w:w="1218"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1,500,000 </w:t>
            </w:r>
          </w:p>
        </w:tc>
        <w:tc>
          <w:tcPr>
            <w:tcW w:w="1107" w:type="dxa"/>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900,000 </w:t>
            </w:r>
          </w:p>
        </w:tc>
        <w:tc>
          <w:tcPr>
            <w:tcW w:w="1107" w:type="dxa"/>
            <w:gridSpan w:val="2"/>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600,000 </w:t>
            </w:r>
          </w:p>
        </w:tc>
        <w:tc>
          <w:tcPr>
            <w:tcW w:w="1944" w:type="dxa"/>
          </w:tcPr>
          <w:p w:rsidR="001303C7" w:rsidRPr="00DB6430" w:rsidRDefault="001303C7" w:rsidP="001303C7">
            <w:pPr>
              <w:rPr>
                <w:rFonts w:asciiTheme="minorHAnsi" w:hAnsiTheme="minorHAnsi" w:cstheme="minorHAnsi"/>
                <w:bCs/>
                <w:sz w:val="22"/>
                <w:szCs w:val="22"/>
              </w:rPr>
            </w:pPr>
            <w:r w:rsidRPr="00DB6430">
              <w:rPr>
                <w:rFonts w:asciiTheme="minorHAnsi" w:hAnsiTheme="minorHAnsi" w:cstheme="minorHAnsi"/>
                <w:bCs/>
                <w:sz w:val="22"/>
                <w:szCs w:val="22"/>
              </w:rPr>
              <w:t>Line ministries, Chambers of com., academia and research institutions &amp; financial institutions</w:t>
            </w:r>
          </w:p>
        </w:tc>
      </w:tr>
      <w:tr w:rsidR="001303C7" w:rsidRPr="00D6125E" w:rsidTr="001303C7">
        <w:tc>
          <w:tcPr>
            <w:tcW w:w="2801" w:type="dxa"/>
            <w:shd w:val="clear" w:color="auto" w:fill="C6D9F1" w:themeFill="text2" w:themeFillTint="33"/>
          </w:tcPr>
          <w:p w:rsidR="001303C7" w:rsidRPr="001303C7" w:rsidRDefault="001303C7" w:rsidP="001303C7">
            <w:pPr>
              <w:rPr>
                <w:rFonts w:asciiTheme="minorHAnsi" w:hAnsiTheme="minorHAnsi"/>
                <w:sz w:val="22"/>
                <w:szCs w:val="22"/>
              </w:rPr>
            </w:pPr>
            <w:r w:rsidRPr="001303C7">
              <w:rPr>
                <w:rFonts w:asciiTheme="minorHAnsi" w:hAnsiTheme="minorHAnsi"/>
                <w:sz w:val="22"/>
                <w:szCs w:val="22"/>
              </w:rPr>
              <w:t>TOTAL (A+B)</w:t>
            </w:r>
          </w:p>
        </w:tc>
        <w:tc>
          <w:tcPr>
            <w:tcW w:w="1273" w:type="dxa"/>
            <w:shd w:val="clear" w:color="auto" w:fill="C6D9F1" w:themeFill="text2" w:themeFillTint="33"/>
          </w:tcPr>
          <w:p w:rsidR="001303C7" w:rsidRPr="001303C7" w:rsidRDefault="001303C7" w:rsidP="001303C7">
            <w:pPr>
              <w:jc w:val="right"/>
              <w:rPr>
                <w:rFonts w:asciiTheme="minorHAnsi" w:hAnsiTheme="minorHAnsi" w:cstheme="minorHAnsi"/>
                <w:bCs/>
                <w:sz w:val="22"/>
                <w:szCs w:val="22"/>
              </w:rPr>
            </w:pPr>
            <w:r w:rsidRPr="001303C7">
              <w:rPr>
                <w:rFonts w:cstheme="minorHAnsi"/>
                <w:bCs/>
              </w:rPr>
              <w:fldChar w:fldCharType="begin"/>
            </w:r>
            <w:r w:rsidRPr="001303C7">
              <w:rPr>
                <w:rFonts w:asciiTheme="minorHAnsi" w:hAnsiTheme="minorHAnsi" w:cstheme="minorHAnsi"/>
                <w:bCs/>
                <w:sz w:val="22"/>
                <w:szCs w:val="22"/>
              </w:rPr>
              <w:instrText xml:space="preserve"> =SUM(ABOVE) </w:instrText>
            </w:r>
            <w:r w:rsidRPr="001303C7">
              <w:rPr>
                <w:rFonts w:cstheme="minorHAnsi"/>
                <w:bCs/>
              </w:rPr>
              <w:fldChar w:fldCharType="separate"/>
            </w:r>
            <w:r w:rsidRPr="001303C7">
              <w:rPr>
                <w:rFonts w:asciiTheme="minorHAnsi" w:hAnsiTheme="minorHAnsi" w:cstheme="minorHAnsi"/>
                <w:bCs/>
                <w:noProof/>
                <w:sz w:val="22"/>
                <w:szCs w:val="22"/>
              </w:rPr>
              <w:t>20,850,000</w:t>
            </w:r>
            <w:r w:rsidRPr="001303C7">
              <w:rPr>
                <w:rFonts w:cstheme="minorHAnsi"/>
                <w:bCs/>
              </w:rPr>
              <w:fldChar w:fldCharType="end"/>
            </w:r>
          </w:p>
        </w:tc>
        <w:tc>
          <w:tcPr>
            <w:tcW w:w="1218" w:type="dxa"/>
            <w:shd w:val="clear" w:color="auto" w:fill="C6D9F1" w:themeFill="text2" w:themeFillTint="33"/>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10,425,000 </w:t>
            </w:r>
          </w:p>
        </w:tc>
        <w:tc>
          <w:tcPr>
            <w:tcW w:w="1107" w:type="dxa"/>
            <w:shd w:val="clear" w:color="auto" w:fill="C6D9F1" w:themeFill="text2" w:themeFillTint="33"/>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6,255,000 </w:t>
            </w:r>
          </w:p>
        </w:tc>
        <w:tc>
          <w:tcPr>
            <w:tcW w:w="1107" w:type="dxa"/>
            <w:gridSpan w:val="2"/>
            <w:shd w:val="clear" w:color="auto" w:fill="C6D9F1" w:themeFill="text2" w:themeFillTint="33"/>
            <w:vAlign w:val="center"/>
          </w:tcPr>
          <w:p w:rsidR="001303C7" w:rsidRPr="001303C7" w:rsidRDefault="001303C7" w:rsidP="001303C7">
            <w:pPr>
              <w:jc w:val="right"/>
              <w:rPr>
                <w:rFonts w:asciiTheme="minorHAnsi" w:hAnsiTheme="minorHAnsi"/>
                <w:color w:val="000000"/>
                <w:sz w:val="22"/>
                <w:szCs w:val="22"/>
              </w:rPr>
            </w:pPr>
            <w:r w:rsidRPr="001303C7">
              <w:rPr>
                <w:rFonts w:asciiTheme="minorHAnsi" w:hAnsiTheme="minorHAnsi"/>
                <w:color w:val="000000"/>
                <w:sz w:val="22"/>
                <w:szCs w:val="22"/>
              </w:rPr>
              <w:t xml:space="preserve">4,170,000 </w:t>
            </w:r>
          </w:p>
        </w:tc>
        <w:tc>
          <w:tcPr>
            <w:tcW w:w="1944" w:type="dxa"/>
            <w:shd w:val="clear" w:color="auto" w:fill="C6D9F1" w:themeFill="text2" w:themeFillTint="33"/>
          </w:tcPr>
          <w:p w:rsidR="001303C7" w:rsidRPr="00DB6430" w:rsidRDefault="001303C7" w:rsidP="001303C7">
            <w:pPr>
              <w:rPr>
                <w:rFonts w:asciiTheme="minorHAnsi" w:hAnsiTheme="minorHAnsi" w:cstheme="minorHAnsi"/>
                <w:bCs/>
                <w:sz w:val="22"/>
                <w:szCs w:val="22"/>
              </w:rPr>
            </w:pPr>
          </w:p>
        </w:tc>
      </w:tr>
    </w:tbl>
    <w:p w:rsidR="0022393B" w:rsidRPr="0022393B" w:rsidRDefault="0022393B" w:rsidP="002E3425">
      <w:pPr>
        <w:spacing w:after="0"/>
        <w:jc w:val="both"/>
      </w:pPr>
    </w:p>
    <w:sectPr w:rsidR="0022393B" w:rsidRPr="0022393B" w:rsidSect="003807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78" w:rsidRDefault="00C50478" w:rsidP="001303C7">
      <w:pPr>
        <w:spacing w:after="0" w:line="240" w:lineRule="auto"/>
      </w:pPr>
      <w:r>
        <w:separator/>
      </w:r>
    </w:p>
  </w:endnote>
  <w:endnote w:type="continuationSeparator" w:id="0">
    <w:p w:rsidR="00C50478" w:rsidRDefault="00C50478" w:rsidP="0013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1303C7">
      <w:trPr>
        <w:trHeight w:val="151"/>
      </w:trPr>
      <w:tc>
        <w:tcPr>
          <w:tcW w:w="2250" w:type="pct"/>
          <w:tcBorders>
            <w:bottom w:val="single" w:sz="4" w:space="0" w:color="4F81BD" w:themeColor="accent1"/>
          </w:tcBorders>
        </w:tcPr>
        <w:p w:rsidR="001303C7" w:rsidRDefault="001303C7">
          <w:pPr>
            <w:pStyle w:val="Header"/>
            <w:rPr>
              <w:rFonts w:asciiTheme="majorHAnsi" w:eastAsiaTheme="majorEastAsia" w:hAnsiTheme="majorHAnsi" w:cstheme="majorBidi"/>
              <w:b/>
              <w:bCs/>
            </w:rPr>
          </w:pPr>
        </w:p>
      </w:tc>
      <w:tc>
        <w:tcPr>
          <w:tcW w:w="500" w:type="pct"/>
          <w:vMerge w:val="restart"/>
          <w:noWrap/>
          <w:vAlign w:val="center"/>
        </w:tcPr>
        <w:p w:rsidR="001303C7" w:rsidRPr="001303C7" w:rsidRDefault="001303C7" w:rsidP="001303C7">
          <w:pPr>
            <w:pStyle w:val="NoSpacing"/>
            <w:jc w:val="center"/>
            <w:rPr>
              <w:rFonts w:eastAsiaTheme="majorEastAsia" w:cstheme="majorBidi"/>
              <w:sz w:val="18"/>
              <w:szCs w:val="18"/>
            </w:rPr>
          </w:pPr>
          <w:r w:rsidRPr="001303C7">
            <w:rPr>
              <w:rFonts w:eastAsiaTheme="majorEastAsia" w:cstheme="majorBidi"/>
              <w:bCs/>
              <w:sz w:val="18"/>
              <w:szCs w:val="18"/>
            </w:rPr>
            <w:t xml:space="preserve">Page </w:t>
          </w:r>
          <w:r w:rsidRPr="001303C7">
            <w:rPr>
              <w:rFonts w:eastAsiaTheme="minorEastAsia"/>
              <w:sz w:val="18"/>
              <w:szCs w:val="18"/>
            </w:rPr>
            <w:fldChar w:fldCharType="begin"/>
          </w:r>
          <w:r w:rsidRPr="001303C7">
            <w:rPr>
              <w:sz w:val="18"/>
              <w:szCs w:val="18"/>
            </w:rPr>
            <w:instrText xml:space="preserve"> PAGE  \* MERGEFORMAT </w:instrText>
          </w:r>
          <w:r w:rsidRPr="001303C7">
            <w:rPr>
              <w:rFonts w:eastAsiaTheme="minorEastAsia"/>
              <w:sz w:val="18"/>
              <w:szCs w:val="18"/>
            </w:rPr>
            <w:fldChar w:fldCharType="separate"/>
          </w:r>
          <w:r w:rsidR="00756FFE" w:rsidRPr="00756FFE">
            <w:rPr>
              <w:rFonts w:eastAsiaTheme="majorEastAsia" w:cstheme="majorBidi"/>
              <w:bCs/>
              <w:noProof/>
              <w:sz w:val="18"/>
              <w:szCs w:val="18"/>
            </w:rPr>
            <w:t>1</w:t>
          </w:r>
          <w:r w:rsidRPr="001303C7">
            <w:rPr>
              <w:rFonts w:eastAsiaTheme="majorEastAsia" w:cstheme="majorBidi"/>
              <w:bCs/>
              <w:noProof/>
              <w:sz w:val="18"/>
              <w:szCs w:val="18"/>
            </w:rPr>
            <w:fldChar w:fldCharType="end"/>
          </w:r>
        </w:p>
      </w:tc>
      <w:tc>
        <w:tcPr>
          <w:tcW w:w="2250" w:type="pct"/>
          <w:tcBorders>
            <w:bottom w:val="single" w:sz="4" w:space="0" w:color="4F81BD" w:themeColor="accent1"/>
          </w:tcBorders>
        </w:tcPr>
        <w:p w:rsidR="001303C7" w:rsidRPr="001303C7" w:rsidRDefault="001303C7">
          <w:pPr>
            <w:pStyle w:val="Header"/>
            <w:rPr>
              <w:rFonts w:asciiTheme="majorHAnsi" w:eastAsiaTheme="majorEastAsia" w:hAnsiTheme="majorHAnsi" w:cstheme="majorBidi"/>
              <w:bCs/>
            </w:rPr>
          </w:pPr>
        </w:p>
      </w:tc>
    </w:tr>
    <w:tr w:rsidR="001303C7">
      <w:trPr>
        <w:trHeight w:val="150"/>
      </w:trPr>
      <w:tc>
        <w:tcPr>
          <w:tcW w:w="2250" w:type="pct"/>
          <w:tcBorders>
            <w:top w:val="single" w:sz="4" w:space="0" w:color="4F81BD" w:themeColor="accent1"/>
          </w:tcBorders>
        </w:tcPr>
        <w:p w:rsidR="001303C7" w:rsidRDefault="001303C7">
          <w:pPr>
            <w:pStyle w:val="Header"/>
            <w:rPr>
              <w:rFonts w:asciiTheme="majorHAnsi" w:eastAsiaTheme="majorEastAsia" w:hAnsiTheme="majorHAnsi" w:cstheme="majorBidi"/>
              <w:b/>
              <w:bCs/>
            </w:rPr>
          </w:pPr>
        </w:p>
      </w:tc>
      <w:tc>
        <w:tcPr>
          <w:tcW w:w="500" w:type="pct"/>
          <w:vMerge/>
        </w:tcPr>
        <w:p w:rsidR="001303C7" w:rsidRDefault="001303C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303C7" w:rsidRPr="001303C7" w:rsidRDefault="001303C7">
          <w:pPr>
            <w:pStyle w:val="Header"/>
            <w:rPr>
              <w:rFonts w:asciiTheme="majorHAnsi" w:eastAsiaTheme="majorEastAsia" w:hAnsiTheme="majorHAnsi" w:cstheme="majorBidi"/>
              <w:bCs/>
            </w:rPr>
          </w:pPr>
        </w:p>
      </w:tc>
    </w:tr>
  </w:tbl>
  <w:p w:rsidR="001303C7" w:rsidRDefault="00130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78" w:rsidRDefault="00C50478" w:rsidP="001303C7">
      <w:pPr>
        <w:spacing w:after="0" w:line="240" w:lineRule="auto"/>
      </w:pPr>
      <w:r>
        <w:separator/>
      </w:r>
    </w:p>
  </w:footnote>
  <w:footnote w:type="continuationSeparator" w:id="0">
    <w:p w:rsidR="00C50478" w:rsidRDefault="00C50478" w:rsidP="00130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9C0"/>
    <w:multiLevelType w:val="hybridMultilevel"/>
    <w:tmpl w:val="BA4A2088"/>
    <w:lvl w:ilvl="0" w:tplc="FF14497A">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5D63AF"/>
    <w:multiLevelType w:val="hybridMultilevel"/>
    <w:tmpl w:val="97BA52FE"/>
    <w:lvl w:ilvl="0" w:tplc="1B40AA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135AF"/>
    <w:multiLevelType w:val="hybridMultilevel"/>
    <w:tmpl w:val="5D6EC630"/>
    <w:lvl w:ilvl="0" w:tplc="CAC2F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70F05"/>
    <w:multiLevelType w:val="hybridMultilevel"/>
    <w:tmpl w:val="DE8C5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92574C"/>
    <w:multiLevelType w:val="hybridMultilevel"/>
    <w:tmpl w:val="A1F2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A61C4"/>
    <w:multiLevelType w:val="hybridMultilevel"/>
    <w:tmpl w:val="9BA69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F53EB"/>
    <w:multiLevelType w:val="hybridMultilevel"/>
    <w:tmpl w:val="18E2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04678"/>
    <w:multiLevelType w:val="hybridMultilevel"/>
    <w:tmpl w:val="6C9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27123"/>
    <w:multiLevelType w:val="hybridMultilevel"/>
    <w:tmpl w:val="2A36E5C8"/>
    <w:lvl w:ilvl="0" w:tplc="770C63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B1061"/>
    <w:multiLevelType w:val="hybridMultilevel"/>
    <w:tmpl w:val="5F58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F3EFA"/>
    <w:multiLevelType w:val="hybridMultilevel"/>
    <w:tmpl w:val="6BD2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604EA"/>
    <w:multiLevelType w:val="hybridMultilevel"/>
    <w:tmpl w:val="40B2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E2BD8"/>
    <w:multiLevelType w:val="hybridMultilevel"/>
    <w:tmpl w:val="E07E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217F5"/>
    <w:multiLevelType w:val="hybridMultilevel"/>
    <w:tmpl w:val="4072C036"/>
    <w:lvl w:ilvl="0" w:tplc="95A8E9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D7267"/>
    <w:multiLevelType w:val="hybridMultilevel"/>
    <w:tmpl w:val="5DF4F026"/>
    <w:lvl w:ilvl="0" w:tplc="8FA08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E5692"/>
    <w:multiLevelType w:val="hybridMultilevel"/>
    <w:tmpl w:val="51DC0046"/>
    <w:lvl w:ilvl="0" w:tplc="71EC0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F3A84"/>
    <w:multiLevelType w:val="hybridMultilevel"/>
    <w:tmpl w:val="FABC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34765"/>
    <w:multiLevelType w:val="hybridMultilevel"/>
    <w:tmpl w:val="6F1011F6"/>
    <w:lvl w:ilvl="0" w:tplc="ECCCF7D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F06BD7"/>
    <w:multiLevelType w:val="hybridMultilevel"/>
    <w:tmpl w:val="BF5E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83985"/>
    <w:multiLevelType w:val="hybridMultilevel"/>
    <w:tmpl w:val="86B0A802"/>
    <w:lvl w:ilvl="0" w:tplc="3D4E5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177D0"/>
    <w:multiLevelType w:val="hybridMultilevel"/>
    <w:tmpl w:val="DFF66CC0"/>
    <w:lvl w:ilvl="0" w:tplc="D9203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15"/>
  </w:num>
  <w:num w:numId="5">
    <w:abstractNumId w:val="1"/>
  </w:num>
  <w:num w:numId="6">
    <w:abstractNumId w:val="14"/>
  </w:num>
  <w:num w:numId="7">
    <w:abstractNumId w:val="17"/>
  </w:num>
  <w:num w:numId="8">
    <w:abstractNumId w:val="3"/>
  </w:num>
  <w:num w:numId="9">
    <w:abstractNumId w:val="0"/>
  </w:num>
  <w:num w:numId="10">
    <w:abstractNumId w:val="4"/>
  </w:num>
  <w:num w:numId="11">
    <w:abstractNumId w:val="20"/>
  </w:num>
  <w:num w:numId="12">
    <w:abstractNumId w:val="12"/>
  </w:num>
  <w:num w:numId="13">
    <w:abstractNumId w:val="13"/>
  </w:num>
  <w:num w:numId="14">
    <w:abstractNumId w:val="16"/>
  </w:num>
  <w:num w:numId="15">
    <w:abstractNumId w:val="9"/>
  </w:num>
  <w:num w:numId="16">
    <w:abstractNumId w:val="11"/>
  </w:num>
  <w:num w:numId="17">
    <w:abstractNumId w:val="8"/>
  </w:num>
  <w:num w:numId="18">
    <w:abstractNumId w:val="18"/>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65"/>
    <w:rsid w:val="00013343"/>
    <w:rsid w:val="00043675"/>
    <w:rsid w:val="000571AC"/>
    <w:rsid w:val="0008557D"/>
    <w:rsid w:val="000B6D45"/>
    <w:rsid w:val="000B75FE"/>
    <w:rsid w:val="000F07F1"/>
    <w:rsid w:val="001104C6"/>
    <w:rsid w:val="0011300C"/>
    <w:rsid w:val="001303C7"/>
    <w:rsid w:val="00146733"/>
    <w:rsid w:val="00153D81"/>
    <w:rsid w:val="00186422"/>
    <w:rsid w:val="001952C1"/>
    <w:rsid w:val="001A1973"/>
    <w:rsid w:val="001C4AF4"/>
    <w:rsid w:val="001D01DC"/>
    <w:rsid w:val="001F47D8"/>
    <w:rsid w:val="001F7C7B"/>
    <w:rsid w:val="00200DBB"/>
    <w:rsid w:val="0022393B"/>
    <w:rsid w:val="002333C6"/>
    <w:rsid w:val="002630DC"/>
    <w:rsid w:val="002A6D56"/>
    <w:rsid w:val="002B6622"/>
    <w:rsid w:val="002C5422"/>
    <w:rsid w:val="002C6E74"/>
    <w:rsid w:val="002D2FD5"/>
    <w:rsid w:val="002E3425"/>
    <w:rsid w:val="002F1069"/>
    <w:rsid w:val="002F1A35"/>
    <w:rsid w:val="003478B1"/>
    <w:rsid w:val="0035018D"/>
    <w:rsid w:val="0038077C"/>
    <w:rsid w:val="003A6767"/>
    <w:rsid w:val="003C149E"/>
    <w:rsid w:val="003D764C"/>
    <w:rsid w:val="003E35DF"/>
    <w:rsid w:val="00424604"/>
    <w:rsid w:val="00424A2C"/>
    <w:rsid w:val="00426D71"/>
    <w:rsid w:val="00434A25"/>
    <w:rsid w:val="00466756"/>
    <w:rsid w:val="00466EE8"/>
    <w:rsid w:val="00474165"/>
    <w:rsid w:val="004A6A2C"/>
    <w:rsid w:val="004D5D5D"/>
    <w:rsid w:val="004F5559"/>
    <w:rsid w:val="00523510"/>
    <w:rsid w:val="005330EF"/>
    <w:rsid w:val="00585878"/>
    <w:rsid w:val="0058604E"/>
    <w:rsid w:val="005D50FD"/>
    <w:rsid w:val="005E24E8"/>
    <w:rsid w:val="005F3ABF"/>
    <w:rsid w:val="00600A96"/>
    <w:rsid w:val="006311BA"/>
    <w:rsid w:val="00632ADA"/>
    <w:rsid w:val="00674776"/>
    <w:rsid w:val="00695003"/>
    <w:rsid w:val="006B3771"/>
    <w:rsid w:val="006C6308"/>
    <w:rsid w:val="006D7F8D"/>
    <w:rsid w:val="006F490A"/>
    <w:rsid w:val="006F5154"/>
    <w:rsid w:val="00734C8A"/>
    <w:rsid w:val="00756FFE"/>
    <w:rsid w:val="007863DF"/>
    <w:rsid w:val="007A5C0D"/>
    <w:rsid w:val="007B2E99"/>
    <w:rsid w:val="007C501A"/>
    <w:rsid w:val="007C7334"/>
    <w:rsid w:val="007E578B"/>
    <w:rsid w:val="007F6C33"/>
    <w:rsid w:val="00811B1D"/>
    <w:rsid w:val="00813172"/>
    <w:rsid w:val="0081650D"/>
    <w:rsid w:val="008621D1"/>
    <w:rsid w:val="00882405"/>
    <w:rsid w:val="00890AD8"/>
    <w:rsid w:val="008D608A"/>
    <w:rsid w:val="00951D58"/>
    <w:rsid w:val="0096161F"/>
    <w:rsid w:val="00961F8F"/>
    <w:rsid w:val="00973D4A"/>
    <w:rsid w:val="00A21B74"/>
    <w:rsid w:val="00A2538B"/>
    <w:rsid w:val="00A31619"/>
    <w:rsid w:val="00A34461"/>
    <w:rsid w:val="00A80EC9"/>
    <w:rsid w:val="00A842EA"/>
    <w:rsid w:val="00AA4667"/>
    <w:rsid w:val="00AC7578"/>
    <w:rsid w:val="00AD381D"/>
    <w:rsid w:val="00B136A2"/>
    <w:rsid w:val="00B23550"/>
    <w:rsid w:val="00B27A12"/>
    <w:rsid w:val="00B45CE2"/>
    <w:rsid w:val="00B5755C"/>
    <w:rsid w:val="00B627B7"/>
    <w:rsid w:val="00BA1370"/>
    <w:rsid w:val="00BC4528"/>
    <w:rsid w:val="00BD21A7"/>
    <w:rsid w:val="00BE7C5C"/>
    <w:rsid w:val="00BF5865"/>
    <w:rsid w:val="00BF67A3"/>
    <w:rsid w:val="00C1038D"/>
    <w:rsid w:val="00C47F2C"/>
    <w:rsid w:val="00C50478"/>
    <w:rsid w:val="00C51BEE"/>
    <w:rsid w:val="00C60E89"/>
    <w:rsid w:val="00C878A4"/>
    <w:rsid w:val="00C923A0"/>
    <w:rsid w:val="00CB41D8"/>
    <w:rsid w:val="00CF3FF0"/>
    <w:rsid w:val="00D04AC6"/>
    <w:rsid w:val="00D21C47"/>
    <w:rsid w:val="00D77F82"/>
    <w:rsid w:val="00D85E6F"/>
    <w:rsid w:val="00DB492E"/>
    <w:rsid w:val="00DC23E0"/>
    <w:rsid w:val="00DD3255"/>
    <w:rsid w:val="00DE42FA"/>
    <w:rsid w:val="00E13667"/>
    <w:rsid w:val="00E937C7"/>
    <w:rsid w:val="00ED3AF7"/>
    <w:rsid w:val="00ED493F"/>
    <w:rsid w:val="00F055DD"/>
    <w:rsid w:val="00F12765"/>
    <w:rsid w:val="00F141BC"/>
    <w:rsid w:val="00F4660B"/>
    <w:rsid w:val="00F77747"/>
    <w:rsid w:val="00F825BA"/>
    <w:rsid w:val="00F8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1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24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24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65"/>
    <w:pPr>
      <w:ind w:left="720"/>
      <w:contextualSpacing/>
    </w:pPr>
  </w:style>
  <w:style w:type="table" w:styleId="TableGrid">
    <w:name w:val="Table Grid"/>
    <w:basedOn w:val="TableNormal"/>
    <w:uiPriority w:val="59"/>
    <w:rsid w:val="007863D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161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82405"/>
    <w:pPr>
      <w:spacing w:after="0" w:line="240" w:lineRule="auto"/>
    </w:pPr>
  </w:style>
  <w:style w:type="character" w:customStyle="1" w:styleId="Heading3Char">
    <w:name w:val="Heading 3 Char"/>
    <w:basedOn w:val="DefaultParagraphFont"/>
    <w:link w:val="Heading3"/>
    <w:uiPriority w:val="9"/>
    <w:rsid w:val="008824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2405"/>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882405"/>
    <w:rPr>
      <w:b/>
      <w:bCs/>
      <w:i/>
      <w:iCs/>
      <w:color w:val="4F81BD" w:themeColor="accent1"/>
    </w:rPr>
  </w:style>
  <w:style w:type="paragraph" w:styleId="Header">
    <w:name w:val="header"/>
    <w:basedOn w:val="Normal"/>
    <w:link w:val="HeaderChar"/>
    <w:uiPriority w:val="99"/>
    <w:unhideWhenUsed/>
    <w:rsid w:val="00130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C7"/>
  </w:style>
  <w:style w:type="paragraph" w:styleId="Footer">
    <w:name w:val="footer"/>
    <w:basedOn w:val="Normal"/>
    <w:link w:val="FooterChar"/>
    <w:uiPriority w:val="99"/>
    <w:unhideWhenUsed/>
    <w:rsid w:val="00130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C7"/>
  </w:style>
  <w:style w:type="character" w:customStyle="1" w:styleId="NoSpacingChar">
    <w:name w:val="No Spacing Char"/>
    <w:basedOn w:val="DefaultParagraphFont"/>
    <w:link w:val="NoSpacing"/>
    <w:uiPriority w:val="1"/>
    <w:rsid w:val="001303C7"/>
  </w:style>
  <w:style w:type="paragraph" w:styleId="BalloonText">
    <w:name w:val="Balloon Text"/>
    <w:basedOn w:val="Normal"/>
    <w:link w:val="BalloonTextChar"/>
    <w:uiPriority w:val="99"/>
    <w:semiHidden/>
    <w:unhideWhenUsed/>
    <w:rsid w:val="00C6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1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24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24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65"/>
    <w:pPr>
      <w:ind w:left="720"/>
      <w:contextualSpacing/>
    </w:pPr>
  </w:style>
  <w:style w:type="table" w:styleId="TableGrid">
    <w:name w:val="Table Grid"/>
    <w:basedOn w:val="TableNormal"/>
    <w:uiPriority w:val="59"/>
    <w:rsid w:val="007863D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161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82405"/>
    <w:pPr>
      <w:spacing w:after="0" w:line="240" w:lineRule="auto"/>
    </w:pPr>
  </w:style>
  <w:style w:type="character" w:customStyle="1" w:styleId="Heading3Char">
    <w:name w:val="Heading 3 Char"/>
    <w:basedOn w:val="DefaultParagraphFont"/>
    <w:link w:val="Heading3"/>
    <w:uiPriority w:val="9"/>
    <w:rsid w:val="008824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2405"/>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882405"/>
    <w:rPr>
      <w:b/>
      <w:bCs/>
      <w:i/>
      <w:iCs/>
      <w:color w:val="4F81BD" w:themeColor="accent1"/>
    </w:rPr>
  </w:style>
  <w:style w:type="paragraph" w:styleId="Header">
    <w:name w:val="header"/>
    <w:basedOn w:val="Normal"/>
    <w:link w:val="HeaderChar"/>
    <w:uiPriority w:val="99"/>
    <w:unhideWhenUsed/>
    <w:rsid w:val="00130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C7"/>
  </w:style>
  <w:style w:type="paragraph" w:styleId="Footer">
    <w:name w:val="footer"/>
    <w:basedOn w:val="Normal"/>
    <w:link w:val="FooterChar"/>
    <w:uiPriority w:val="99"/>
    <w:unhideWhenUsed/>
    <w:rsid w:val="00130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C7"/>
  </w:style>
  <w:style w:type="character" w:customStyle="1" w:styleId="NoSpacingChar">
    <w:name w:val="No Spacing Char"/>
    <w:basedOn w:val="DefaultParagraphFont"/>
    <w:link w:val="NoSpacing"/>
    <w:uiPriority w:val="1"/>
    <w:rsid w:val="001303C7"/>
  </w:style>
  <w:style w:type="paragraph" w:styleId="BalloonText">
    <w:name w:val="Balloon Text"/>
    <w:basedOn w:val="Normal"/>
    <w:link w:val="BalloonTextChar"/>
    <w:uiPriority w:val="99"/>
    <w:semiHidden/>
    <w:unhideWhenUsed/>
    <w:rsid w:val="00C6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2015-11-10T13:00:00+00:00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1120</Value>
      <Value>1</Value>
      <Value>763</Value>
    </TaxCatchAll>
    <c4e2ab2cc9354bbf9064eeb465a566ea xmlns="1ed4137b-41b2-488b-8250-6d369ec27664">
      <Terms xmlns="http://schemas.microsoft.com/office/infopath/2007/PartnerControls"/>
    </c4e2ab2cc9354bbf9064eeb465a566ea>
    <UndpProjectNo xmlns="1ed4137b-41b2-488b-8250-6d369ec27664">00085375</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_dlc_DocId xmlns="f1161f5b-24a3-4c2d-bc81-44cb9325e8ee">ATLASPDC-4-42169</_dlc_DocId>
    <_dlc_DocIdUrl xmlns="f1161f5b-24a3-4c2d-bc81-44cb9325e8ee">
      <Url>https://info.undp.org/docs/pdc/_layouts/DocIdRedir.aspx?ID=ATLASPDC-4-42169</Url>
      <Description>ATLASPDC-4-42169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3B6CC-C288-481E-8F51-E070D41F39FD}"/>
</file>

<file path=customXml/itemProps2.xml><?xml version="1.0" encoding="utf-8"?>
<ds:datastoreItem xmlns:ds="http://schemas.openxmlformats.org/officeDocument/2006/customXml" ds:itemID="{E81429FE-DB2A-4545-AB5E-AD78A8E5A727}"/>
</file>

<file path=customXml/itemProps3.xml><?xml version="1.0" encoding="utf-8"?>
<ds:datastoreItem xmlns:ds="http://schemas.openxmlformats.org/officeDocument/2006/customXml" ds:itemID="{6852CA61-69D7-4F66-862C-8D6DAFA97452}"/>
</file>

<file path=customXml/itemProps4.xml><?xml version="1.0" encoding="utf-8"?>
<ds:datastoreItem xmlns:ds="http://schemas.openxmlformats.org/officeDocument/2006/customXml" ds:itemID="{C9B5C1AB-CC62-4D06-9B4E-F1DBF62D103D}"/>
</file>

<file path=customXml/itemProps5.xml><?xml version="1.0" encoding="utf-8"?>
<ds:datastoreItem xmlns:ds="http://schemas.openxmlformats.org/officeDocument/2006/customXml" ds:itemID="{7B9746A3-DCC2-4223-AE5C-2BEB20A2FB85}"/>
</file>

<file path=docProps/app.xml><?xml version="1.0" encoding="utf-8"?>
<Properties xmlns="http://schemas.openxmlformats.org/officeDocument/2006/extended-properties" xmlns:vt="http://schemas.openxmlformats.org/officeDocument/2006/docPropsVTypes">
  <Template>Normal</Template>
  <TotalTime>378</TotalTime>
  <Pages>1</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Brooks</dc:creator>
  <cp:lastModifiedBy>Jonathan Brooks</cp:lastModifiedBy>
  <cp:revision>11</cp:revision>
  <cp:lastPrinted>2013-08-23T04:04:00Z</cp:lastPrinted>
  <dcterms:created xsi:type="dcterms:W3CDTF">2013-08-23T03:15:00Z</dcterms:created>
  <dcterms:modified xsi:type="dcterms:W3CDTF">2013-08-26T14:13:00Z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1120;#SOM|cdea0762-6493-4acc-bf3b-f5b75277c37e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002d8741-3071-4c82-9121-8f81c0e5a8b9</vt:lpwstr>
  </property>
  <property fmtid="{D5CDD505-2E9C-101B-9397-08002B2CF9AE}" pid="18" name="URL">
    <vt:lpwstr/>
  </property>
  <property fmtid="{D5CDD505-2E9C-101B-9397-08002B2CF9AE}" pid="19" name="DocumentSetDescription">
    <vt:lpwstr/>
  </property>
</Properties>
</file>